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Space: Space Explorers</w:t>
      </w:r>
    </w:p>
    <w:p>
      <w:pPr>
        <w:spacing w:after="160"/>
      </w:pPr>
      <w:r>
        <w:rPr>
          <w:rFonts w:ascii="Arial" w:hAnsi="Arial"/>
          <w:b/>
          <w:color w:val="9B6816"/>
          <w:sz w:val="22"/>
        </w:rPr>
        <w:t>Teacher guide  |  Foundation-Year 2</w:t>
      </w:r>
    </w:p>
    <w:p>
      <w:pPr>
        <w:spacing w:after="140"/>
      </w:pPr>
      <w:r>
        <w:rPr>
          <w:rFonts w:ascii="Arial" w:hAnsi="Arial"/>
          <w:b/>
          <w:color w:val="5F6D65"/>
          <w:sz w:val="18"/>
        </w:rPr>
        <w:t>Release candidate 0.9  |  Reviewed 14 August 2026  |  Curriculum-linked release candidate</w:t>
      </w:r>
    </w:p>
    <w:p>
      <w:pPr>
        <w:spacing w:before="40" w:after="140"/>
        <w:shd w:fill="E5F5F2"/>
      </w:pPr>
      <w:r>
        <w:rPr>
          <w:rFonts w:ascii="Arial" w:hAnsi="Arial"/>
          <w:b/>
          <w:color w:val="24513A"/>
        </w:rPr>
        <w:t xml:space="preserve">Program position: </w:t>
      </w:r>
      <w:r>
        <w:rPr>
          <w:rFonts w:ascii="Arial" w:hAnsi="Arial"/>
          <w:color w:val="26332D"/>
        </w:rPr>
        <w:t>Students use the projected Space experience to practise noticing, sorting and questioning. A separate safe observation of the real sky is required for direct sky-pattern evidence.</w:t>
      </w:r>
    </w:p>
    <w:p>
      <w:pPr>
        <w:pStyle w:val="Heading1"/>
      </w:pPr>
      <w:r>
        <w:t>At a glance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1800"/>
        <w:gridCol w:w="6205"/>
      </w:tblGrid>
      <w:tr>
        <w:trPr>
          <w:cantSplit/>
          <w:tblHeader w:val="true"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Phase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Time</w:t>
            </w:r>
          </w:p>
        </w:tc>
        <w:tc>
          <w:tcPr>
            <w:tcW w:type="dxa" w:w="6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Learning evidence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9"/>
              </w:rPr>
              <w:t>Before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9"/>
              </w:rPr>
              <w:t>10-15 min</w:t>
            </w:r>
          </w:p>
        </w:tc>
        <w:tc>
          <w:tcPr>
            <w:tcW w:type="dxa" w:w="6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9"/>
              </w:rPr>
              <w:t>Sort familiar objects: star, planet, moon or human-made.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9"/>
              </w:rPr>
              <w:t>During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9"/>
              </w:rPr>
              <w:t>moving show</w:t>
            </w:r>
          </w:p>
        </w:tc>
        <w:tc>
          <w:tcPr>
            <w:tcW w:type="dxa" w:w="6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9"/>
              </w:rPr>
              <w:t>Remember three observations; listen for model and fiction labels.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9"/>
              </w:rPr>
              <w:t>After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9"/>
              </w:rPr>
              <w:t>30-45 min</w:t>
            </w:r>
          </w:p>
        </w:tc>
        <w:tc>
          <w:tcPr>
            <w:tcW w:type="dxa" w:w="6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9"/>
              </w:rPr>
              <w:t>Complete sorting, evidence labels and space postcard.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9"/>
              </w:rPr>
              <w:t>Sky check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9"/>
              </w:rPr>
              <w:t>10 min</w:t>
            </w:r>
          </w:p>
        </w:tc>
        <w:tc>
          <w:tcPr>
            <w:tcW w:type="dxa" w:w="6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9"/>
              </w:rPr>
              <w:t>Safe day observation plus night observation or supplied record.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9"/>
              </w:rPr>
              <w:t>Share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9"/>
              </w:rPr>
              <w:t>10 min</w:t>
            </w:r>
          </w:p>
        </w:tc>
        <w:tc>
          <w:tcPr>
            <w:tcW w:type="dxa" w:w="6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9"/>
              </w:rPr>
              <w:t>Observation, supported fact and question.</w:t>
            </w:r>
          </w:p>
        </w:tc>
      </w:tr>
    </w:tbl>
    <w:p>
      <w:pPr>
        <w:pStyle w:val="Heading1"/>
      </w:pPr>
      <w:r>
        <w:t>Learning intentions</w:t>
      </w:r>
    </w:p>
    <w:p>
      <w:pPr>
        <w:pStyle w:val="ListBullet"/>
      </w:pPr>
      <w:r>
        <w:t>Identify the Sun as a star, Earth and Mars as planets, and the Moon and Europa as moons.</w:t>
      </w:r>
    </w:p>
    <w:p>
      <w:pPr>
        <w:pStyle w:val="ListBullet"/>
      </w:pPr>
      <w:r>
        <w:t>Distinguish natural celestial objects from human-made space technology.</w:t>
      </w:r>
    </w:p>
    <w:p>
      <w:pPr>
        <w:pStyle w:val="ListBullet"/>
      </w:pPr>
      <w:r>
        <w:t>Separate supported facts, models or representations, and make-believe scenes.</w:t>
      </w:r>
    </w:p>
    <w:p>
      <w:pPr>
        <w:pStyle w:val="ListBullet"/>
      </w:pPr>
      <w:r>
        <w:t>Record and communicate a simple observation and question.</w:t>
      </w:r>
    </w:p>
    <w:p>
      <w:pPr>
        <w:spacing w:after="80"/>
      </w:pPr>
      <w:r>
        <w:rPr>
          <w:rFonts w:ascii="Arial" w:hAnsi="Arial"/>
          <w:i/>
          <w:color w:val="5F6D65"/>
          <w:sz w:val="18"/>
        </w:rPr>
        <w:t>The pack supports selected Science content only; it is not a complete Foundation-Level 2 unit.</w:t>
      </w:r>
    </w:p>
    <w:p>
      <w:r>
        <w:br w:type="page"/>
      </w:r>
    </w:p>
    <w:p>
      <w:pPr>
        <w:pStyle w:val="Heading1"/>
      </w:pPr>
      <w:r>
        <w:t>Victorian Curriculum F-10 Version 2.0</w:t>
      </w:r>
    </w:p>
    <w:p>
      <w:r>
        <w:rPr>
          <w:rFonts w:ascii="Arial" w:hAnsi="Arial"/>
          <w:b/>
          <w:color w:val="26332D"/>
        </w:rPr>
        <w:t>The strongest curriculum link is VC2S2U08. Real-sky observation must be taught separately from the projected experience.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00"/>
        <w:gridCol w:w="1800"/>
        <w:gridCol w:w="6305"/>
      </w:tblGrid>
      <w:tr>
        <w:trPr>
          <w:cantSplit/>
          <w:tblHeader w:val="true"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17"/>
              </w:rPr>
              <w:t>Code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17"/>
              </w:rPr>
              <w:t>Status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17"/>
              </w:rPr>
              <w:t>Pack evidence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VC2S2H01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Core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Projected observations are separated from scientific and instrument evidence.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VC2S2H02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Supporting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Students ask questions and use familiar sky patterns for simple predictions.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VC2S2U08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Core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Earth is one of 8 planets; students identify celestial objects and sky patterns.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VC2S2I03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Core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Observations recorded through drawing, speech, pointing, circling or writing.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VC2S2I04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Core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Objects and claims sorted with provided organisers.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VC2S2I06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Core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Students share an observation, fact and question.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VC2S2I01 / I05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Conditional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Claim only when prediction and comparison accompany a real-sky observation.</w:t>
            </w:r>
          </w:p>
        </w:tc>
      </w:tr>
    </w:tbl>
    <w:p>
      <w:pPr>
        <w:spacing w:before="40" w:after="140"/>
        <w:shd w:fill="FBF1D8"/>
      </w:pPr>
      <w:r>
        <w:rPr>
          <w:rFonts w:ascii="Arial" w:hAnsi="Arial"/>
          <w:b/>
          <w:color w:val="24513A"/>
        </w:rPr>
        <w:t xml:space="preserve">Evidence boundary: </w:t>
      </w:r>
      <w:r>
        <w:rPr>
          <w:rFonts w:ascii="Arial" w:hAnsi="Arial"/>
          <w:color w:val="26332D"/>
        </w:rPr>
        <w:t>The projected show can prompt curiosity and classification. It does not provide direct observations of the Sun, Moon, planets or stars and is not to scale unless a specific relationship is labelled.</w:t>
      </w:r>
    </w:p>
    <w:p>
      <w:r>
        <w:br w:type="page"/>
      </w:r>
    </w:p>
    <w:p>
      <w:pPr>
        <w:pStyle w:val="Heading1"/>
      </w:pPr>
      <w:r>
        <w:t>Answer guidance</w:t>
      </w:r>
    </w:p>
    <w:p>
      <w:pPr>
        <w:pStyle w:val="Heading2"/>
      </w:pPr>
      <w:r>
        <w:t>Object groups</w:t>
      </w:r>
    </w:p>
    <w:p>
      <w:pPr>
        <w:pStyle w:val="ListBullet"/>
      </w:pPr>
      <w:r>
        <w:t>Sun - star; Earth and Mars - planets; Earth's Moon and Europa - moons.</w:t>
      </w:r>
    </w:p>
    <w:p>
      <w:pPr>
        <w:pStyle w:val="ListBullet"/>
      </w:pPr>
      <w:r>
        <w:t>Natural: Saturn and a nebula. Human-made: International Space Station and Mars rover.</w:t>
      </w:r>
    </w:p>
    <w:p>
      <w:pPr>
        <w:pStyle w:val="ListBullet"/>
      </w:pPr>
      <w:r>
        <w:t>Europa is a moon of Jupiter; Enceladus is a moon of Saturn.</w:t>
      </w:r>
    </w:p>
    <w:p>
      <w:pPr>
        <w:pStyle w:val="Heading2"/>
      </w:pPr>
      <w:r>
        <w:t>Fact, model or make-believe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900"/>
        <w:gridCol w:w="1700"/>
        <w:gridCol w:w="4605"/>
      </w:tblGrid>
      <w:tr>
        <w:trPr>
          <w:cantSplit/>
          <w:tblHeader w:val="true"/>
        </w:trPr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Example</w:t>
            </w:r>
          </w:p>
        </w:tc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Answer</w:t>
            </w:r>
          </w:p>
        </w:tc>
        <w:tc>
          <w:tcPr>
            <w:tcW w:type="dxa" w:w="4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Reason</w:t>
            </w:r>
          </w:p>
        </w:tc>
      </w:tr>
      <w:tr>
        <w:trPr>
          <w:cantSplit/>
        </w:trPr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Earth is one of 8 planets</w:t>
            </w:r>
          </w:p>
        </w:tc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Fact</w:t>
            </w:r>
          </w:p>
        </w:tc>
        <w:tc>
          <w:tcPr>
            <w:tcW w:type="dxa" w:w="4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Supported by repeated scientific observations.</w:t>
            </w:r>
          </w:p>
        </w:tc>
      </w:tr>
      <w:tr>
        <w:trPr>
          <w:cantSplit/>
        </w:trPr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Planets close together</w:t>
            </w:r>
          </w:p>
        </w:tc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Model</w:t>
            </w:r>
          </w:p>
        </w:tc>
        <w:tc>
          <w:tcPr>
            <w:tcW w:type="dxa" w:w="4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The show compresses the enormous distances.</w:t>
            </w:r>
          </w:p>
        </w:tc>
      </w:tr>
      <w:tr>
        <w:trPr>
          <w:cantSplit/>
        </w:trPr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Whale-like alien</w:t>
            </w:r>
          </w:p>
        </w:tc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Make-believe</w:t>
            </w:r>
          </w:p>
        </w:tc>
        <w:tc>
          <w:tcPr>
            <w:tcW w:type="dxa" w:w="4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No organism has been observed on Europa.</w:t>
            </w:r>
          </w:p>
        </w:tc>
      </w:tr>
      <w:tr>
        <w:trPr>
          <w:cantSplit/>
        </w:trPr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Bright black-hole picture</w:t>
            </w:r>
          </w:p>
        </w:tc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Model</w:t>
            </w:r>
          </w:p>
        </w:tc>
        <w:tc>
          <w:tcPr>
            <w:tcW w:type="dxa" w:w="4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The black hole itself does not emit or reflect light.</w:t>
            </w:r>
          </w:p>
        </w:tc>
      </w:tr>
      <w:tr>
        <w:trPr>
          <w:cantSplit/>
        </w:trPr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People built the ISS</w:t>
            </w:r>
          </w:p>
        </w:tc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Fact</w:t>
            </w:r>
          </w:p>
        </w:tc>
        <w:tc>
          <w:tcPr>
            <w:tcW w:type="dxa" w:w="4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It is a human-made orbiting laboratory.</w:t>
            </w:r>
          </w:p>
        </w:tc>
      </w:tr>
    </w:tbl>
    <w:p>
      <w:pPr>
        <w:pStyle w:val="Heading2"/>
      </w:pPr>
      <w:r>
        <w:t>Real-sky observation</w:t>
      </w:r>
    </w:p>
    <w:p>
      <w:pPr>
        <w:pStyle w:val="ListBullet"/>
      </w:pPr>
      <w:r>
        <w:t>Day records may include the Sun's apparent position, the Moon when visible, clouds and changing light. Never require students to look at the Sun.</w:t>
      </w:r>
    </w:p>
    <w:p>
      <w:pPr>
        <w:pStyle w:val="ListBullet"/>
      </w:pPr>
      <w:r>
        <w:t>Night records may come from a supervised observation or a dated authoritative image or observation log.</w:t>
      </w:r>
    </w:p>
    <w:p>
      <w:pPr>
        <w:pStyle w:val="ListBullet"/>
      </w:pPr>
      <w:r>
        <w:t>Accept simple patterns such as objects appearing in different positions, changing daylight, or repeated Moon observations. Do not force a pattern from one observation.</w:t>
      </w:r>
    </w:p>
    <w:p>
      <w:pPr>
        <w:spacing w:after="80"/>
      </w:pPr>
      <w:r>
        <w:rPr>
          <w:rFonts w:ascii="Arial" w:hAnsi="Arial"/>
          <w:i/>
          <w:color w:val="5F6D65"/>
          <w:sz w:val="18"/>
        </w:rPr>
        <w:t>Accept alternative answers when the student identifies a defensible category and explains their evidence.</w:t>
      </w:r>
    </w:p>
    <w:p>
      <w:r>
        <w:br w:type="page"/>
      </w:r>
    </w:p>
    <w:p>
      <w:pPr>
        <w:pStyle w:val="Heading1"/>
      </w:pPr>
      <w:r>
        <w:t>Teaching, access and wellbeing</w:t>
      </w:r>
    </w:p>
    <w:p>
      <w:pPr>
        <w:pStyle w:val="Heading2"/>
      </w:pPr>
      <w:r>
        <w:t>Before the visit</w:t>
      </w:r>
    </w:p>
    <w:p>
      <w:pPr>
        <w:pStyle w:val="ListBullet"/>
      </w:pPr>
      <w:r>
        <w:t>Teach star, planet, moon, orbit, natural, human-made, model and fiction.</w:t>
      </w:r>
    </w:p>
    <w:p>
      <w:pPr>
        <w:pStyle w:val="ListBullet"/>
      </w:pPr>
      <w:r>
        <w:t>Explain that a projected model can help us imagine space while changing size, distance, colour or time.</w:t>
      </w:r>
    </w:p>
    <w:p>
      <w:pPr>
        <w:pStyle w:val="ListBullet"/>
      </w:pPr>
      <w:r>
        <w:t>Preview darkness, loud launches, floating debris, an impact, a supernova, close alien images and the UFO finale.</w:t>
      </w:r>
    </w:p>
    <w:p>
      <w:pPr>
        <w:pStyle w:val="ListBullet"/>
      </w:pPr>
      <w:r>
        <w:t>Let students choose a quiet noticing goal rather than requiring spoken answers during movement.</w:t>
      </w:r>
    </w:p>
    <w:p>
      <w:pPr>
        <w:pStyle w:val="Heading2"/>
      </w:pPr>
      <w:r>
        <w:t>During and after</w:t>
      </w:r>
    </w:p>
    <w:p>
      <w:pPr>
        <w:pStyle w:val="ListBullet"/>
      </w:pPr>
      <w:r>
        <w:t>Announce make-believe before the futuristic spacecraft, Europa city, alien organisms and UFO appear.</w:t>
      </w:r>
    </w:p>
    <w:p>
      <w:pPr>
        <w:pStyle w:val="ListBullet"/>
      </w:pPr>
      <w:r>
        <w:t>Do not delay the moving group for call-and-response.</w:t>
      </w:r>
    </w:p>
    <w:p>
      <w:pPr>
        <w:pStyle w:val="ListBullet"/>
      </w:pPr>
      <w:r>
        <w:t>Invite drawing, pointing, speaking, circling or supported writing.</w:t>
      </w:r>
    </w:p>
    <w:p>
      <w:pPr>
        <w:pStyle w:val="ListBullet"/>
      </w:pPr>
      <w:r>
        <w:t>Provide a still-scene list or transcript for students unable to process moving imagery.</w:t>
      </w:r>
    </w:p>
    <w:p>
      <w:pPr>
        <w:pStyle w:val="ListBullet"/>
      </w:pPr>
      <w:r>
        <w:t>Use the show as a prompt, then use a safe outdoor observation or authoritative record for sky-pattern learning.</w:t>
      </w:r>
    </w:p>
    <w:p>
      <w:pPr>
        <w:pStyle w:val="Heading2"/>
      </w:pPr>
      <w:r>
        <w:t>Assessment snapshot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500"/>
        <w:gridCol w:w="2800"/>
        <w:gridCol w:w="3105"/>
      </w:tblGrid>
      <w:tr>
        <w:trPr>
          <w:cantSplit/>
          <w:tblHeader w:val="true"/>
        </w:trP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16"/>
              </w:rPr>
              <w:t>Evidence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16"/>
              </w:rPr>
              <w:t>Beginning</w:t>
            </w:r>
          </w:p>
        </w:tc>
        <w:tc>
          <w:tcPr>
            <w:tcW w:type="dxa" w:w="2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16"/>
              </w:rPr>
              <w:t>Developing</w:t>
            </w:r>
          </w:p>
        </w:tc>
        <w:tc>
          <w:tcPr>
            <w:tcW w:type="dxa" w:w="31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16"/>
              </w:rPr>
              <w:t>Secure</w:t>
            </w:r>
          </w:p>
        </w:tc>
      </w:tr>
      <w:tr>
        <w:trPr>
          <w:cantSplit/>
        </w:trP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Observation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Names a scene.</w:t>
            </w:r>
          </w:p>
        </w:tc>
        <w:tc>
          <w:tcPr>
            <w:tcW w:type="dxa" w:w="2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Names a visible object.</w:t>
            </w:r>
          </w:p>
        </w:tc>
        <w:tc>
          <w:tcPr>
            <w:tcW w:type="dxa" w:w="31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Records a precise observation.</w:t>
            </w:r>
          </w:p>
        </w:tc>
      </w:tr>
      <w:tr>
        <w:trPr>
          <w:cantSplit/>
        </w:trP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Grouping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Sorts with support.</w:t>
            </w:r>
          </w:p>
        </w:tc>
        <w:tc>
          <w:tcPr>
            <w:tcW w:type="dxa" w:w="2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Sorts familiar examples.</w:t>
            </w:r>
          </w:p>
        </w:tc>
        <w:tc>
          <w:tcPr>
            <w:tcW w:type="dxa" w:w="31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Explains a category choice.</w:t>
            </w:r>
          </w:p>
        </w:tc>
      </w:tr>
      <w:tr>
        <w:trPr>
          <w:cantSplit/>
        </w:trP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Evidence thinking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Retells the show.</w:t>
            </w:r>
          </w:p>
        </w:tc>
        <w:tc>
          <w:tcPr>
            <w:tcW w:type="dxa" w:w="2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Names a model or fiction scene.</w:t>
            </w:r>
          </w:p>
        </w:tc>
        <w:tc>
          <w:tcPr>
            <w:tcW w:type="dxa" w:w="31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Separates fact, model and fiction.</w:t>
            </w:r>
          </w:p>
        </w:tc>
      </w:tr>
      <w:tr>
        <w:trPr>
          <w:cantSplit/>
        </w:trP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Communication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Shares an idea.</w:t>
            </w:r>
          </w:p>
        </w:tc>
        <w:tc>
          <w:tcPr>
            <w:tcW w:type="dxa" w:w="2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Uses topic words.</w:t>
            </w:r>
          </w:p>
        </w:tc>
        <w:tc>
          <w:tcPr>
            <w:tcW w:type="dxa" w:w="31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Shares an observation, fact and question.</w:t>
            </w:r>
          </w:p>
        </w:tc>
      </w:tr>
    </w:tbl>
    <w:p>
      <w:r>
        <w:br w:type="page"/>
      </w:r>
    </w:p>
    <w:p>
      <w:pPr>
        <w:pStyle w:val="Heading1"/>
      </w:pPr>
      <w:r>
        <w:t>Fact, source and release control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500"/>
        <w:gridCol w:w="7705"/>
      </w:tblGrid>
      <w:tr>
        <w:trPr>
          <w:cantSplit/>
          <w:tblHeader w:val="true"/>
        </w:trPr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Topic</w:t>
            </w:r>
          </w:p>
        </w:tc>
        <w:tc>
          <w:tcPr>
            <w:tcW w:type="dxa" w:w="77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Required control</w:t>
            </w:r>
          </w:p>
        </w:tc>
      </w:tr>
      <w:tr>
        <w:trPr>
          <w:cantSplit/>
        </w:trPr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Solar System</w:t>
            </w:r>
          </w:p>
        </w:tc>
        <w:tc>
          <w:tcPr>
            <w:tcW w:type="dxa" w:w="77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Eight planets; compact show positions and distances are not to scale.</w:t>
            </w:r>
          </w:p>
        </w:tc>
      </w:tr>
      <w:tr>
        <w:trPr>
          <w:cantSplit/>
        </w:trPr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Moon and missions</w:t>
            </w:r>
          </w:p>
        </w:tc>
        <w:tc>
          <w:tcPr>
            <w:tcW w:type="dxa" w:w="77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Do not name a specific mission unless the venue confirms the visual source.</w:t>
            </w:r>
          </w:p>
        </w:tc>
      </w:tr>
      <w:tr>
        <w:trPr>
          <w:cantSplit/>
        </w:trPr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Microgravity</w:t>
            </w:r>
          </w:p>
        </w:tc>
        <w:tc>
          <w:tcPr>
            <w:tcW w:type="dxa" w:w="77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Objects appear to float because the station and contents are in continuous free fall, not because gravity is absent.</w:t>
            </w:r>
          </w:p>
        </w:tc>
      </w:tr>
      <w:tr>
        <w:trPr>
          <w:cantSplit/>
        </w:trPr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Colour and time</w:t>
            </w:r>
          </w:p>
        </w:tc>
        <w:tc>
          <w:tcPr>
            <w:tcW w:type="dxa" w:w="77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Nebula colours and rapid supernova or planet-formation sequences are visualisations with compressed time.</w:t>
            </w:r>
          </w:p>
        </w:tc>
      </w:tr>
      <w:tr>
        <w:trPr>
          <w:cantSplit/>
        </w:trPr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Black hole</w:t>
            </w:r>
          </w:p>
        </w:tc>
        <w:tc>
          <w:tcPr>
            <w:tcW w:type="dxa" w:w="77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Call it a representation; the black hole itself does not emit or reflect light.</w:t>
            </w:r>
          </w:p>
        </w:tc>
      </w:tr>
      <w:tr>
        <w:trPr>
          <w:cantSplit/>
        </w:trPr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Life beyond Earth</w:t>
            </w:r>
          </w:p>
        </w:tc>
        <w:tc>
          <w:tcPr>
            <w:tcW w:type="dxa" w:w="77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Earth is the only world currently known to support life.</w:t>
            </w:r>
          </w:p>
        </w:tc>
      </w:tr>
      <w:tr>
        <w:trPr>
          <w:cantSplit/>
        </w:trPr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Fiction</w:t>
            </w:r>
          </w:p>
        </w:tc>
        <w:tc>
          <w:tcPr>
            <w:tcW w:type="dxa" w:w="77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Label futuristic craft, Europa city, alien organisms and UFO before they appear.</w:t>
            </w:r>
          </w:p>
        </w:tc>
      </w:tr>
    </w:tbl>
    <w:p>
      <w:pPr>
        <w:pStyle w:val="Heading1"/>
      </w:pPr>
      <w:r>
        <w:t>Approval gate</w:t>
      </w:r>
    </w:p>
    <w:p>
      <w:pPr>
        <w:pStyle w:val="ListBullet"/>
      </w:pPr>
      <w:r>
        <w:t>Venue operator confirms the 20-file sequence, titles and final timings.</w:t>
      </w:r>
    </w:p>
    <w:p>
      <w:pPr>
        <w:pStyle w:val="ListBullet"/>
      </w:pPr>
      <w:r>
        <w:t>Science reviewer approves facts and all model, representation, speculation and fiction labels.</w:t>
      </w:r>
    </w:p>
    <w:p>
      <w:pPr>
        <w:pStyle w:val="ListBullet"/>
      </w:pPr>
      <w:r>
        <w:t>Education lead approves curriculum mapping, age suitability and sky-observation instructions.</w:t>
      </w:r>
    </w:p>
    <w:p>
      <w:pPr>
        <w:pStyle w:val="ListBullet"/>
      </w:pPr>
      <w:r>
        <w:t>Read-aloud timing, sensory cues and accessibility checks are recorded.</w:t>
      </w:r>
    </w:p>
    <w:p>
      <w:pPr>
        <w:pStyle w:val="Heading1"/>
      </w:pPr>
      <w:r>
        <w:t>Sources</w:t>
      </w:r>
    </w:p>
    <w:p>
      <w:pPr>
        <w:pStyle w:val="ListBullet"/>
        <w:spacing w:after="60"/>
      </w:pPr>
      <w:hyperlink r:id="rId11">
        <w:r>
          <w:rPr>
            <w:color w:val="087F7C"/>
            <w:u w:val="single"/>
          </w:rPr>
          <w:t>VCAA - Level 2</w:t>
        </w:r>
      </w:hyperlink>
    </w:p>
    <w:p>
      <w:pPr>
        <w:pStyle w:val="ListBullet"/>
        <w:spacing w:after="60"/>
      </w:pPr>
      <w:hyperlink r:id="rId12">
        <w:r>
          <w:rPr>
            <w:color w:val="087F7C"/>
            <w:u w:val="single"/>
          </w:rPr>
          <w:t>VCAA - Science scope and sequence</w:t>
        </w:r>
      </w:hyperlink>
    </w:p>
    <w:p>
      <w:pPr>
        <w:pStyle w:val="ListBullet"/>
        <w:spacing w:after="60"/>
      </w:pPr>
      <w:hyperlink r:id="rId13">
        <w:r>
          <w:rPr>
            <w:color w:val="087F7C"/>
            <w:u w:val="single"/>
          </w:rPr>
          <w:t>NASA - Solar System Facts</w:t>
        </w:r>
      </w:hyperlink>
    </w:p>
    <w:p>
      <w:pPr>
        <w:pStyle w:val="ListBullet"/>
        <w:spacing w:after="60"/>
      </w:pPr>
      <w:hyperlink r:id="rId14">
        <w:r>
          <w:rPr>
            <w:color w:val="087F7C"/>
            <w:u w:val="single"/>
          </w:rPr>
          <w:t>NASA - Space Station FAQ</w:t>
        </w:r>
      </w:hyperlink>
    </w:p>
    <w:p>
      <w:pPr>
        <w:pStyle w:val="ListBullet"/>
        <w:spacing w:after="60"/>
      </w:pPr>
      <w:hyperlink r:id="rId15">
        <w:r>
          <w:rPr>
            <w:color w:val="087F7C"/>
            <w:u w:val="single"/>
          </w:rPr>
          <w:t>NASA - Mars Facts</w:t>
        </w:r>
      </w:hyperlink>
    </w:p>
    <w:p>
      <w:pPr>
        <w:pStyle w:val="ListBullet"/>
        <w:spacing w:after="60"/>
      </w:pPr>
      <w:hyperlink r:id="rId16">
        <w:r>
          <w:rPr>
            <w:color w:val="087F7C"/>
            <w:u w:val="single"/>
          </w:rPr>
          <w:t>NASA - Enceladus</w:t>
        </w:r>
      </w:hyperlink>
    </w:p>
    <w:p>
      <w:pPr>
        <w:pStyle w:val="ListBullet"/>
        <w:spacing w:after="60"/>
      </w:pPr>
      <w:hyperlink r:id="rId17">
        <w:r>
          <w:rPr>
            <w:color w:val="087F7C"/>
            <w:u w:val="single"/>
          </w:rPr>
          <w:t>NASA - Europa evidence</w:t>
        </w:r>
      </w:hyperlink>
    </w:p>
    <w:p>
      <w:pPr>
        <w:pStyle w:val="ListBullet"/>
        <w:spacing w:after="60"/>
      </w:pPr>
      <w:hyperlink r:id="rId18">
        <w:r>
          <w:rPr>
            <w:color w:val="087F7C"/>
            <w:u w:val="single"/>
          </w:rPr>
          <w:t>NASA - Anatomy of a Black Hole</w:t>
        </w:r>
      </w:hyperlink>
    </w:p>
    <w:p>
      <w:pPr>
        <w:spacing w:after="80"/>
      </w:pPr>
      <w:r>
        <w:rPr>
          <w:rFonts w:ascii="Arial" w:hAnsi="Arial"/>
          <w:i/>
          <w:color w:val="5F6D65"/>
          <w:sz w:val="18"/>
        </w:rPr>
        <w:t>Curriculum and factual sources checked 14 August 2026. Recheck immediately before publication.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center"/>
    </w:pPr>
    <w:r>
      <w:rPr>
        <w:rFonts w:ascii="Arial" w:hAnsi="Arial"/>
        <w:color w:val="5F6D65"/>
        <w:sz w:val="17"/>
      </w:rPr>
      <w:t xml:space="preserve">Victorian Curriculum F-10 Version 2.0  |  Review: 14 August 2026  |  Page </w:t>
    </w:r>
    <w:r>
      <w:rPr>
        <w:rFonts w:ascii="Arial" w:hAnsi="Arial"/>
        <w:color w:val="5F6D65"/>
        <w:sz w:val="17"/>
      </w:rPr>
      <w:fldChar w:fldCharType="begin"/>
      <w:instrText xml:space="preserve">PAGE</w:instrText>
      <w:fldChar w:fldCharType="separate"/>
      <w:t>1</w:t>
      <w:fldChar w:fldCharType="end"/>
    </w:r>
    <w:r>
      <w:rPr>
        <w:rFonts w:ascii="Arial" w:hAnsi="Arial"/>
        <w:color w:val="5F6D65"/>
        <w:sz w:val="17"/>
      </w:rPr>
      <w:t xml:space="preserve"> of </w:t>
    </w:r>
    <w:r>
      <w:rPr>
        <w:rFonts w:ascii="Arial" w:hAnsi="Arial"/>
        <w:color w:val="5F6D65"/>
        <w:sz w:val="17"/>
      </w:rPr>
      <w:fldChar w:fldCharType="begin"/>
      <w:instrText xml:space="preserve">NUMPAGES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rial" w:hAnsi="Arial"/>
        <w:b/>
        <w:color w:val="087F7C"/>
        <w:sz w:val="16"/>
      </w:rPr>
      <w:t>HOLOGRAM ZOO MELBOURNE  |  EDUCATION  |  TEACHER GUIDE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00" w:line="276" w:lineRule="auto"/>
    </w:pPr>
    <w:rPr>
      <w:rFonts w:ascii="Arial" w:hAnsi="Arial"/>
      <w:color w:val="26332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087F7C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 w:after="80"/>
      <w:outlineLvl w:val="1"/>
    </w:pPr>
    <w:rPr>
      <w:rFonts w:asciiTheme="majorHAnsi" w:eastAsiaTheme="majorEastAsia" w:hAnsiTheme="majorHAnsi" w:cstheme="majorBidi" w:ascii="Arial" w:hAnsi="Arial"/>
      <w:b/>
      <w:bCs/>
      <w:color w:val="24513A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Arial" w:hAnsi="Arial"/>
      <w:b/>
      <w:bCs/>
      <w:color w:val="24513A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6" w:space="1" w:color="24513A" w:themeColor="accent1"/>
      </w:pBdr>
      <w:spacing w:after="8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color w:val="24513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f10.vcaa.vic.edu.au/levels/level-2" TargetMode="External"/><Relationship Id="rId12" Type="http://schemas.openxmlformats.org/officeDocument/2006/relationships/hyperlink" Target="https://f10.vcaa.vic.edu.au/learning-areas/science/scope-and-sequence" TargetMode="External"/><Relationship Id="rId13" Type="http://schemas.openxmlformats.org/officeDocument/2006/relationships/hyperlink" Target="https://science.nasa.gov/solar-system/solar-system-facts/" TargetMode="External"/><Relationship Id="rId14" Type="http://schemas.openxmlformats.org/officeDocument/2006/relationships/hyperlink" Target="https://www.nasa.gov/missions/station/spot-the-station-frequently-asked-questions/" TargetMode="External"/><Relationship Id="rId15" Type="http://schemas.openxmlformats.org/officeDocument/2006/relationships/hyperlink" Target="https://science.nasa.gov/mars/facts/" TargetMode="External"/><Relationship Id="rId16" Type="http://schemas.openxmlformats.org/officeDocument/2006/relationships/hyperlink" Target="https://science.nasa.gov/mission/cassini/science/enceladus/" TargetMode="External"/><Relationship Id="rId17" Type="http://schemas.openxmlformats.org/officeDocument/2006/relationships/hyperlink" Target="https://science.nasa.gov/solar-system/galileo-evidence-points-to-possible-water-world-under-europas-icy-crust/" TargetMode="External"/><Relationship Id="rId18" Type="http://schemas.openxmlformats.org/officeDocument/2006/relationships/hyperlink" Target="https://science.nasa.gov/universe/black-holes/anatom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Space Explorers - Foundation-Year 2 Teacher Guide</dc:title>
  <dc:subject>Teacher guide and curriculum mapping for the Hologram Zoo Melbourne Space experience</dc:subject>
  <dc:creator>Hologram Zoo Melbourne</dc:creator>
  <cp:keywords>Hologram Zoo, Space, Foundation-Year 2, sky patterns, celestial objects, Victorian Curriculum F-10 Version 2.0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