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Australia: Animal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Teacher guide and answer support  |  Foundation-Year 2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11 August 2026  |  Curriculum verified; venue scene confirmation pending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Program purpose: </w:t>
      </w:r>
      <w:r>
        <w:rPr>
          <w:rFonts w:ascii="Arial" w:hAnsi="Arial"/>
          <w:color w:val="26332D"/>
        </w:rPr>
        <w:t>Students observe represented Australian animals and habitats, group animals by visible features, connect external features with functions, and explain how a habitat helps meet an animal's needs.</w:t>
      </w:r>
    </w:p>
    <w:p>
      <w:pPr>
        <w:pStyle w:val="Heading1"/>
      </w:pPr>
      <w:r>
        <w:t>At a glance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600"/>
        <w:gridCol w:w="7605"/>
      </w:tblGrid>
      <w:tr>
        <w:trPr>
          <w:cantSplit/>
          <w:tblHeader w:val="true"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Item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Guidance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Audience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Foundation-Year 2; use oral, pointing, drawing and scribed responses as needed.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Primary learning area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Science - Biological sciences and Science Inquiry.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Resource timing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Brief pre-visit prediction; visual observation during the show; 25-40 minute post-visit worksheet.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Evidence collected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Grouping by feature; habitat-needs connection; feature-function-survival explanation.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Technology statement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The show uses projected digital imagery and special glasses to create a room-scale 3D illusion. The images are representations, not live animals or true volumetric holograms.</w:t>
            </w:r>
          </w:p>
        </w:tc>
      </w:tr>
    </w:tbl>
    <w:p>
      <w:pPr>
        <w:pStyle w:val="Heading1"/>
      </w:pPr>
      <w:r>
        <w:t>Learning intentions</w:t>
      </w:r>
    </w:p>
    <w:p>
      <w:pPr>
        <w:pStyle w:val="ListBullet"/>
        <w:spacing w:after="60"/>
      </w:pPr>
      <w:r>
        <w:t>We are learning to observe animals and habitats carefully.</w:t>
      </w:r>
    </w:p>
    <w:p>
      <w:pPr>
        <w:pStyle w:val="ListBullet"/>
        <w:spacing w:after="60"/>
      </w:pPr>
      <w:r>
        <w:t>We are learning that animals need air, water, food and shelter.</w:t>
      </w:r>
    </w:p>
    <w:p>
      <w:pPr>
        <w:pStyle w:val="ListBullet"/>
        <w:spacing w:after="60"/>
      </w:pPr>
      <w:r>
        <w:t>We are learning how an external body feature can help an animal survive.</w:t>
      </w:r>
    </w:p>
    <w:p>
      <w:pPr>
        <w:pStyle w:val="ListBullet"/>
        <w:spacing w:after="60"/>
      </w:pPr>
      <w:r>
        <w:t>We are learning to sort and share what we notice.</w:t>
      </w:r>
    </w:p>
    <w:p>
      <w:pPr>
        <w:pStyle w:val="Heading1"/>
      </w:pPr>
      <w:r>
        <w:t>Success criteria</w:t>
      </w:r>
    </w:p>
    <w:p>
      <w:pPr>
        <w:pStyle w:val="ListBullet"/>
        <w:spacing w:after="60"/>
      </w:pPr>
      <w:r>
        <w:t>I can group or match an animal using something I can observe.</w:t>
      </w:r>
    </w:p>
    <w:p>
      <w:pPr>
        <w:pStyle w:val="ListBullet"/>
        <w:spacing w:after="60"/>
      </w:pPr>
      <w:r>
        <w:t>I can identify something an animal needs from its habitat.</w:t>
      </w:r>
    </w:p>
    <w:p>
      <w:pPr>
        <w:pStyle w:val="ListBullet"/>
        <w:spacing w:after="60"/>
      </w:pPr>
      <w:r>
        <w:t>I can explain how one body feature helps an animal move, eat, breathe or stay safe.</w:t>
      </w:r>
    </w:p>
    <w:p>
      <w:pPr>
        <w:pStyle w:val="ListBullet"/>
        <w:spacing w:after="60"/>
      </w:pPr>
      <w:r>
        <w:t>I can share an observation by speaking, pointing, drawing, labelling or writing.</w:t>
      </w:r>
    </w:p>
    <w:p>
      <w:r>
        <w:br w:type="page"/>
      </w:r>
    </w:p>
    <w:p>
      <w:pPr>
        <w:pStyle w:val="Heading1"/>
      </w:pPr>
      <w:r>
        <w:t>Victorian Curriculum F-10 Version 2.0</w:t>
      </w:r>
    </w:p>
    <w:p>
      <w:r>
        <w:t>This excursion supports selected parts of the Foundation-Level 2 Science curriculum. It does not assess the whole achievement standard.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550"/>
        <w:gridCol w:w="4300"/>
        <w:gridCol w:w="4355"/>
      </w:tblGrid>
      <w:tr>
        <w:trPr>
          <w:cantSplit/>
          <w:tblHeader w:val="true"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Code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Curriculum connection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Evidence in this pack</w:t>
            </w:r>
          </w:p>
        </w:tc>
      </w:tr>
      <w:tr>
        <w:trPr>
          <w:cantSplit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VC2S2H01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Scientific knowledge begins with observations using senses and suitable tools.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Students observe visible movement, body features and habitat cues in a digital representation.</w:t>
            </w:r>
          </w:p>
        </w:tc>
      </w:tr>
      <w:tr>
        <w:trPr>
          <w:cantSplit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VC2S2U01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Observable features can be used to group plants and animals.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Habitat Hunt and Feature Detective matching.</w:t>
            </w:r>
          </w:p>
        </w:tc>
      </w:tr>
      <w:tr>
        <w:trPr>
          <w:cantSplit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VC2S2U02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Plants and animals need air, water, food and shelter; habitats help meet these needs.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Needs task and animal-in-habitat drawing.</w:t>
            </w:r>
          </w:p>
        </w:tc>
      </w:tr>
      <w:tr>
        <w:trPr>
          <w:cantSplit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VC2S2U03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External features perform functions that enable survival.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Feature-to-function choices and Animal Expert explanation.</w:t>
            </w:r>
          </w:p>
        </w:tc>
      </w:tr>
      <w:tr>
        <w:trPr>
          <w:cantSplit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VC2S2I03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Observations can be made and recorded.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One remembered observation recorded through talk, pointing, drawing, labels or writing.</w:t>
            </w:r>
          </w:p>
        </w:tc>
      </w:tr>
      <w:tr>
        <w:trPr>
          <w:cantSplit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VC2S2I04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Data and information can be sorted and ordered to show simple patterns.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Animals are sorted or matched using habitat and feature information.</w:t>
            </w:r>
          </w:p>
        </w:tc>
      </w:tr>
      <w:tr>
        <w:trPr>
          <w:cantSplit/>
        </w:trPr>
        <w:tc>
          <w:tcPr>
            <w:tcW w:type="dxa" w:w="1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VC2S2I06</w:t>
            </w:r>
          </w:p>
        </w:tc>
        <w:tc>
          <w:tcPr>
            <w:tcW w:type="dxa" w:w="4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Observations, findings and ideas can be communicated using everyday and some scientific vocabulary.</w:t>
            </w:r>
          </w:p>
        </w:tc>
        <w:tc>
          <w:tcPr>
            <w:tcW w:type="dxa" w:w="435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Student explains one animal, feature, function and need.</w:t>
            </w:r>
          </w:p>
        </w:tc>
      </w:tr>
    </w:tbl>
    <w:p>
      <w:pPr>
        <w:pStyle w:val="Heading2"/>
      </w:pPr>
      <w:r>
        <w:t>Optional inquiry extension</w:t>
      </w:r>
    </w:p>
    <w:p>
      <w:r>
        <w:t>Use the 'My thinking changed' prompt before and after the visit to support VC2S2I01 and VC2S2I05. These codes should be claimed only when students make a prediction and then compare it with an observation.</w:t>
      </w:r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Do not reuse the old VCSSU042, VCSSU043, VCSIS050 or VCSIS051 codes. They belong to Victorian Curriculum Version 1.0.</w:t>
      </w:r>
    </w:p>
    <w:p>
      <w:r>
        <w:br w:type="page"/>
      </w:r>
    </w:p>
    <w:p>
      <w:pPr>
        <w:pStyle w:val="Heading1"/>
      </w:pPr>
      <w:r>
        <w:t>Teaching sequence</w:t>
      </w:r>
    </w:p>
    <w:p>
      <w:pPr>
        <w:pStyle w:val="Heading2"/>
      </w:pPr>
      <w:r>
        <w:t>Before the visit - 10 minutes</w:t>
      </w:r>
    </w:p>
    <w:p>
      <w:pPr>
        <w:pStyle w:val="ListBullet"/>
      </w:pPr>
      <w:r>
        <w:t>Introduce the words habitat, external feature, function and survive.</w:t>
      </w:r>
    </w:p>
    <w:p>
      <w:pPr>
        <w:pStyle w:val="ListBullet"/>
      </w:pPr>
      <w:r>
        <w:t>Ask students to predict one animal they may see and one feature they might notice.</w:t>
      </w:r>
    </w:p>
    <w:p>
      <w:pPr>
        <w:pStyle w:val="ListBullet"/>
      </w:pPr>
      <w:r>
        <w:t>Explain that the show contains projected digital representations. Students are observing the representation, not a live animal.</w:t>
      </w:r>
    </w:p>
    <w:p>
      <w:pPr>
        <w:pStyle w:val="ListBullet"/>
      </w:pPr>
      <w:r>
        <w:t>Agree on a quiet noticing signal so students do not need to write while walking through the show.</w:t>
      </w:r>
    </w:p>
    <w:p>
      <w:pPr>
        <w:pStyle w:val="Heading2"/>
      </w:pPr>
      <w:r>
        <w:t>During the experience</w:t>
      </w:r>
    </w:p>
    <w:p>
      <w:pPr>
        <w:pStyle w:val="ListBullet"/>
      </w:pPr>
      <w:r>
        <w:t>Keep the group moving with venue staff and prioritise safety cues over questions.</w:t>
      </w:r>
    </w:p>
    <w:p>
      <w:pPr>
        <w:pStyle w:val="ListBullet"/>
      </w:pPr>
      <w:r>
        <w:t>Invite students to notice one body feature and one habitat clue.</w:t>
      </w:r>
    </w:p>
    <w:p>
      <w:pPr>
        <w:pStyle w:val="ListBullet"/>
      </w:pPr>
      <w:r>
        <w:t>Do not require continuous note-taking or call-and-response while the visual sequence is moving.</w:t>
      </w:r>
    </w:p>
    <w:p>
      <w:pPr>
        <w:pStyle w:val="ListBullet"/>
      </w:pPr>
      <w:r>
        <w:t>Offer advance reassurance before the close crocodile, shark and spider moments without building extra suspense.</w:t>
      </w:r>
    </w:p>
    <w:p>
      <w:pPr>
        <w:pStyle w:val="Heading2"/>
      </w:pPr>
      <w:r>
        <w:t>After the visit - 25 to 40 minutes</w:t>
      </w:r>
    </w:p>
    <w:p>
      <w:pPr>
        <w:pStyle w:val="ListNumber"/>
      </w:pPr>
      <w:r>
        <w:t>Complete Habitat Hunt and Feature Detective together or independently.</w:t>
      </w:r>
    </w:p>
    <w:p>
      <w:pPr>
        <w:pStyle w:val="ListNumber"/>
      </w:pPr>
      <w:r>
        <w:t>Ask students to circle air, water, food and shelter in the needs task.</w:t>
      </w:r>
    </w:p>
    <w:p>
      <w:pPr>
        <w:pStyle w:val="ListNumber"/>
      </w:pPr>
      <w:r>
        <w:t>Use the Animal Expert page as the main evidence task.</w:t>
      </w:r>
    </w:p>
    <w:p>
      <w:pPr>
        <w:pStyle w:val="ListNumber"/>
      </w:pPr>
      <w:r>
        <w:t>Return to the pre-visit prediction and record what changed.</w:t>
      </w:r>
    </w:p>
    <w:p>
      <w:pPr>
        <w:pStyle w:val="ListNumber"/>
      </w:pPr>
      <w:r>
        <w:t>Invite students to explain their drawing to a partner or small group.</w:t>
      </w:r>
    </w:p>
    <w:p>
      <w:pPr>
        <w:pStyle w:val="Heading1"/>
      </w:pPr>
      <w:r>
        <w:t>Sensory and access planning</w:t>
      </w:r>
    </w:p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Plan ahead: </w:t>
      </w:r>
      <w:r>
        <w:rPr>
          <w:rFonts w:ascii="Arial" w:hAnsi="Arial"/>
          <w:color w:val="26332D"/>
        </w:rPr>
        <w:t>Confirm the current venue procedure for glasses, moving floors or routes, lighting, sound, flicker, sudden movement, breaks and emergency access. Offer a non-wearing or alternative viewing option where the venue permits it.</w:t>
      </w:r>
    </w:p>
    <w:p>
      <w:pPr>
        <w:pStyle w:val="ListBullet"/>
      </w:pPr>
      <w:r>
        <w:t>Provide the worksheet after the moving experience rather than during it.</w:t>
      </w:r>
    </w:p>
    <w:p>
      <w:pPr>
        <w:pStyle w:val="ListBullet"/>
      </w:pPr>
      <w:r>
        <w:t>Accept speech, gesture, pointing, drawing, symbols, labels, writing or adult scribing.</w:t>
      </w:r>
    </w:p>
    <w:p>
      <w:pPr>
        <w:pStyle w:val="ListBullet"/>
      </w:pPr>
      <w:r>
        <w:t>Pre-teach vocabulary with real photographs or objects where possible.</w:t>
      </w:r>
    </w:p>
    <w:p>
      <w:pPr>
        <w:pStyle w:val="ListBullet"/>
      </w:pPr>
      <w:r>
        <w:t>Use paired choices and reduced options for students who need additional processing support.</w:t>
      </w:r>
    </w:p>
    <w:p>
      <w:pPr>
        <w:pStyle w:val="ListBullet"/>
      </w:pPr>
      <w:r>
        <w:t>Allow extra challenge through comparison: two features, two habitats or two grouping rules.</w:t>
      </w:r>
    </w:p>
    <w:p>
      <w:r>
        <w:br w:type="page"/>
      </w:r>
    </w:p>
    <w:p>
      <w:pPr>
        <w:pStyle w:val="Heading1"/>
      </w:pPr>
      <w:r>
        <w:t>Answer and discussion guide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600"/>
        <w:gridCol w:w="7605"/>
      </w:tblGrid>
      <w:tr>
        <w:trPr>
          <w:cantSplit/>
          <w:tblHeader w:val="true"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Worksheet task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Expected answer or acceptable evidence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Habitat Hunt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Koala - eucalypt forest; platypus - freshwater river; dolphin - ocean; kangaroo - open grassland.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Feature Detective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Echidna spines - stay safe; platypus webbed feet - swim; koala claws - grip branches; dolphin blowhole - breathe air.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Animal needs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Air, water, food and shelter. A safe place can be discussed as part of shelter or habitat, but it must not replace air.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Animal Expert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Accept any show animal when the habitat, need and feature-function link are reasonable. The student may explain orally.</w:t>
            </w:r>
          </w:p>
        </w:tc>
      </w:tr>
      <w:tr>
        <w:trPr>
          <w:cantSplit/>
        </w:trPr>
        <w:tc>
          <w:tcPr>
            <w:tcW w:type="dxa" w:w="2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Thinking changed</w:t>
            </w:r>
          </w:p>
        </w:tc>
        <w:tc>
          <w:tcPr>
            <w:tcW w:type="dxa" w:w="7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Accept a simple comparison between a prediction and a later observation. There is no single correct response.</w:t>
            </w:r>
          </w:p>
        </w:tc>
      </w:tr>
    </w:tbl>
    <w:p>
      <w:pPr>
        <w:pStyle w:val="Heading1"/>
      </w:pPr>
      <w:r>
        <w:t>Assessment record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2550"/>
        <w:gridCol w:w="2650"/>
        <w:gridCol w:w="28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Evidence</w:t>
            </w:r>
          </w:p>
        </w:tc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Beginning</w:t>
            </w:r>
          </w:p>
        </w:tc>
        <w:tc>
          <w:tcPr>
            <w:tcW w:type="dxa" w:w="2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Developing</w:t>
            </w:r>
          </w:p>
        </w:tc>
        <w:tc>
          <w:tcPr>
            <w:tcW w:type="dxa" w:w="2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r>
              <w:rPr>
                <w:rFonts w:ascii="Arial" w:hAnsi="Arial"/>
                <w:b/>
                <w:color w:val="FFFFFF"/>
                <w:sz w:val="19"/>
              </w:rPr>
              <w:t>Secure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Groups by observation</w:t>
            </w:r>
          </w:p>
        </w:tc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Needs a model or paired choices.</w:t>
            </w:r>
          </w:p>
        </w:tc>
        <w:tc>
          <w:tcPr>
            <w:tcW w:type="dxa" w:w="2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Makes one correct match with support.</w:t>
            </w:r>
          </w:p>
        </w:tc>
        <w:tc>
          <w:tcPr>
            <w:tcW w:type="dxa" w:w="2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Groups or matches and gives an observable reason.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Connects habitat and need</w:t>
            </w:r>
          </w:p>
        </w:tc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Names a need or a place.</w:t>
            </w:r>
          </w:p>
        </w:tc>
        <w:tc>
          <w:tcPr>
            <w:tcW w:type="dxa" w:w="2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Links one need to a habitat with support.</w:t>
            </w:r>
          </w:p>
        </w:tc>
        <w:tc>
          <w:tcPr>
            <w:tcW w:type="dxa" w:w="2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Explains how the habitat provides one or more needs.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Explains feature function</w:t>
            </w:r>
          </w:p>
        </w:tc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Names an animal or feature.</w:t>
            </w:r>
          </w:p>
        </w:tc>
        <w:tc>
          <w:tcPr>
            <w:tcW w:type="dxa" w:w="2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Matches a feature with its job.</w:t>
            </w:r>
          </w:p>
        </w:tc>
        <w:tc>
          <w:tcPr>
            <w:tcW w:type="dxa" w:w="2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Explains how the feature's job helps survival.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Communicates observation</w:t>
            </w:r>
          </w:p>
        </w:tc>
        <w:tc>
          <w:tcPr>
            <w:tcW w:type="dxa" w:w="25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Responds through gesture, choice or copied word.</w:t>
            </w:r>
          </w:p>
        </w:tc>
        <w:tc>
          <w:tcPr>
            <w:tcW w:type="dxa" w:w="2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Shares a drawing, label or short statement.</w:t>
            </w:r>
          </w:p>
        </w:tc>
        <w:tc>
          <w:tcPr>
            <w:tcW w:type="dxa" w:w="2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rFonts w:ascii="Arial" w:hAnsi="Arial"/>
                <w:color w:val="26332D"/>
                <w:sz w:val="19"/>
              </w:rPr>
              <w:t>Uses everyday and relevant scientific vocabulary to explain an idea.</w:t>
            </w:r>
          </w:p>
        </w:tc>
      </w:tr>
    </w:tbl>
    <w:p>
      <w:r>
        <w:br w:type="page"/>
      </w:r>
    </w:p>
    <w:p>
      <w:pPr>
        <w:pStyle w:val="Heading1"/>
      </w:pPr>
      <w:r>
        <w:t>Fact-check notes for educators</w:t>
      </w:r>
    </w:p>
    <w:p>
      <w:pPr>
        <w:pStyle w:val="ListBullet"/>
      </w:pPr>
      <w:r>
        <w:t>Koalas eat selected eucalypt leaves and obtain much of their water from their food. Do not say they never drink.</w:t>
      </w:r>
    </w:p>
    <w:p>
      <w:pPr>
        <w:pStyle w:val="ListBullet"/>
      </w:pPr>
      <w:r>
        <w:t>Short-beaked echidna spines are modified hairs used in defence; strong claws and a long sticky tongue support feeding on ants and termites.</w:t>
      </w:r>
    </w:p>
    <w:p>
      <w:pPr>
        <w:pStyle w:val="ListBullet"/>
      </w:pPr>
      <w:r>
        <w:t>Platypuses use webbed front feet for propulsion in water and their bills help detect prey. They live in freshwater habitats.</w:t>
      </w:r>
    </w:p>
    <w:p>
      <w:pPr>
        <w:pStyle w:val="ListBullet"/>
      </w:pPr>
      <w:r>
        <w:t>Southern cassowaries are large flightless rainforest birds. They eat mainly fallen fruit and disperse seeds.</w:t>
      </w:r>
    </w:p>
    <w:p>
      <w:pPr>
        <w:pStyle w:val="ListBullet"/>
      </w:pPr>
      <w:r>
        <w:t>The crocodile may be described as an estuarine crocodile, also called a saltwater crocodile, once the operator confirms the visual identification.</w:t>
      </w:r>
    </w:p>
    <w:p>
      <w:pPr>
        <w:pStyle w:val="ListBullet"/>
      </w:pPr>
      <w:r>
        <w:t>Do not identify snake, frog, kingfisher, wallaby, dolphin, glider, funnel-web or seed species until a venue representative confirms the visuals.</w:t>
      </w:r>
    </w:p>
    <w:p>
      <w:pPr>
        <w:pStyle w:val="Heading1"/>
      </w:pPr>
      <w:r>
        <w:t>Sources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Victorian Curriculum F-10 Version 2.0 - Level 2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Australian Museum - Koala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Australian Museum - Short-beaked Echidna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Australian Museum - Platypus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Australian Museum - Estuarine Crocodile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Queensland Government - Southern Cassowary</w:t>
        </w:r>
      </w:hyperlink>
    </w:p>
    <w:p>
      <w:pPr>
        <w:pStyle w:val="ListBullet"/>
        <w:spacing w:after="60"/>
      </w:pPr>
      <w:hyperlink r:id="rId17">
        <w:r>
          <w:rPr>
            <w:color w:val="087F7C"/>
            <w:u w:val="single"/>
          </w:rPr>
          <w:t>Australian Museum - Shark bodies and senses</w:t>
        </w:r>
      </w:hyperlink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Sources checked 11 August 2026. Recheck before annual republication.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11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TEACHER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f10.vcaa.vic.edu.au/levels/level-2" TargetMode="External"/><Relationship Id="rId12" Type="http://schemas.openxmlformats.org/officeDocument/2006/relationships/hyperlink" Target="https://australian.museum/learn/animals/mammals/koala/" TargetMode="External"/><Relationship Id="rId13" Type="http://schemas.openxmlformats.org/officeDocument/2006/relationships/hyperlink" Target="https://australian.museum/learn/animals/mammals/short-beaked-echidna/" TargetMode="External"/><Relationship Id="rId14" Type="http://schemas.openxmlformats.org/officeDocument/2006/relationships/hyperlink" Target="https://australian.museum/learn/animals/mammals/platypus/" TargetMode="External"/><Relationship Id="rId15" Type="http://schemas.openxmlformats.org/officeDocument/2006/relationships/hyperlink" Target="https://australian.museum/learn/animals/reptiles/estuarine-crocodile/" TargetMode="External"/><Relationship Id="rId16" Type="http://schemas.openxmlformats.org/officeDocument/2006/relationships/hyperlink" Target="https://www.qld.gov.au/environment/plants-animals/conservation/threatened-species/featured-projects/southern-cassowary" TargetMode="External"/><Relationship Id="rId17" Type="http://schemas.openxmlformats.org/officeDocument/2006/relationships/hyperlink" Target="https://australian.museum/publications/sharks/bodies-sens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 Animal Detectives - Foundation-Year 2 Teacher Guide</dc:title>
  <dc:subject>Teacher guidance, curriculum mapping and answers for the Hologram Zoo Melbourne Australia experience</dc:subject>
  <dc:creator>Hologram Zoo Melbourne</dc:creator>
  <cp:keywords>Hologram Zoo, Australia, Foundation-Year 2, Victorian Curriculum F-10 Version 2.0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