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Asia Animal and Story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teacher guide  |  Foundation-Year 2  |  Asia experience</w:t>
      </w:r>
    </w:p>
    <w:p>
      <w:pPr>
        <w:spacing w:after="180"/>
      </w:pPr>
      <w:r>
        <w:rPr>
          <w:rFonts w:ascii="Arial" w:hAnsi="Arial"/>
          <w:b/>
          <w:color w:val="9B6816"/>
          <w:sz w:val="18"/>
        </w:rPr>
        <w:t>CURRICULUM-LINKED RELEASE CANDIDATE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Program position: </w:t>
      </w:r>
      <w:r>
        <w:rPr>
          <w:rFonts w:ascii="Arial" w:hAnsi="Arial"/>
          <w:color w:val="26332D"/>
        </w:rPr>
        <w:t>Students observe represented animals and settings, identify external features and habitat needs, and separate living animals from moving images and cultural stories.</w:t>
      </w:r>
    </w:p>
    <w:p>
      <w:pPr>
        <w:pStyle w:val="Heading1"/>
      </w:pPr>
      <w:r>
        <w:t>At a glance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2100"/>
        <w:gridCol w:w="59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Phase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Suggested time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Before / arrival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10-15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Vocabulary, Asia map and representation expectations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During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About 16 minutes plus movement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Three brief observations and questions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Post-show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45-75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External features; Habitat needs; Living and represented things; Observation communication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Communication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20-40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Audience-focused explanation, model or briefing</w:t>
            </w:r>
          </w:p>
        </w:tc>
      </w:tr>
    </w:tbl>
    <w:p>
      <w:pPr>
        <w:pStyle w:val="Heading1"/>
      </w:pPr>
      <w:r>
        <w:t>Learning intentions</w:t>
      </w:r>
    </w:p>
    <w:p>
      <w:pPr>
        <w:pStyle w:val="ListBullet"/>
        <w:spacing w:after="60"/>
      </w:pPr>
      <w:r>
        <w:t>Students develop evidence about external features.</w:t>
      </w:r>
    </w:p>
    <w:p>
      <w:pPr>
        <w:pStyle w:val="ListBullet"/>
        <w:spacing w:after="60"/>
      </w:pPr>
      <w:r>
        <w:t>Students develop evidence about habitat needs.</w:t>
      </w:r>
    </w:p>
    <w:p>
      <w:pPr>
        <w:pStyle w:val="ListBullet"/>
        <w:spacing w:after="60"/>
      </w:pPr>
      <w:r>
        <w:t>Students develop evidence about living and represented things.</w:t>
      </w:r>
    </w:p>
    <w:p>
      <w:pPr>
        <w:pStyle w:val="ListBullet"/>
        <w:spacing w:after="60"/>
      </w:pPr>
      <w:r>
        <w:t>Students develop evidence about observation communication.</w:t>
      </w:r>
    </w:p>
    <w:p>
      <w:r>
        <w:br w:type="page"/>
      </w:r>
    </w:p>
    <w:p>
      <w:pPr>
        <w:pStyle w:val="Heading1"/>
      </w:pPr>
      <w:r>
        <w:t>Victorian curriculum mapping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900"/>
        <w:gridCol w:w="3900"/>
        <w:gridCol w:w="3405"/>
      </w:tblGrid>
      <w:tr>
        <w:trPr>
          <w:cantSplit/>
          <w:tblHeader w:val="true"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Code / study component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Curriculum intent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Evidence in this pack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VC2S2H01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People use observations and science in daily life.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Students check an animal or habitat claim using a source.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VC2S2U01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have features and can be grouped.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Feature hunt and animal grouping.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VC2S2U02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grow, change and have life cycles.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Tiger cub and adult comparison.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VC2S2U03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Habitats meet the needs of living things.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Bamboo forest, wetland and mountain habitat task.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VC2S2I03-VC2S2I04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Observations and informal data can be recorded and represented.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Tally, drawing and labelled observation.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VC2S2I06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Observations and ideas are communicated for a purpose.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Short animal-and-habitat guide.</w:t>
            </w:r>
          </w:p>
        </w:tc>
      </w:tr>
    </w:tbl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Mapping rule: </w:t>
      </w:r>
      <w:r>
        <w:rPr>
          <w:rFonts w:ascii="Arial" w:hAnsi="Arial"/>
          <w:color w:val="26332D"/>
        </w:rPr>
        <w:t>This pack supports selected curriculum evidence. It does not cover an entire achievement standard, VCE outcome or assessment task.</w:t>
      </w:r>
    </w:p>
    <w:p>
      <w:pPr>
        <w:pStyle w:val="Heading1"/>
      </w:pPr>
      <w:r>
        <w:t>Teaching sequence</w:t>
      </w:r>
    </w:p>
    <w:p>
      <w:pPr>
        <w:pStyle w:val="ListBullet"/>
        <w:spacing w:after="60"/>
      </w:pPr>
      <w:r>
        <w:t>Before: locate Japan, China, Nepal and Hong Kong; introduce observation, inference, source evidence and cultural/creative representation.</w:t>
      </w:r>
    </w:p>
    <w:p>
      <w:pPr>
        <w:pStyle w:val="ListBullet"/>
        <w:spacing w:after="60"/>
      </w:pPr>
      <w:r>
        <w:t>During: ask students to watch first and capture only three quick observations where safe.</w:t>
      </w:r>
    </w:p>
    <w:p>
      <w:pPr>
        <w:pStyle w:val="ListBullet"/>
        <w:spacing w:after="60"/>
      </w:pPr>
      <w:r>
        <w:t>After: use the supplied sources to check animal identity, habitat and cultural claims before completing the level task.</w:t>
      </w:r>
    </w:p>
    <w:p>
      <w:pPr>
        <w:pStyle w:val="ListBullet"/>
        <w:spacing w:after="60"/>
      </w:pPr>
      <w:r>
        <w:t>Communicate: require a named audience, accurate vocabulary, respectful cultural wording and visible source acknowledgement.</w:t>
      </w:r>
    </w:p>
    <w:p>
      <w:pPr>
        <w:pStyle w:val="Heading1"/>
      </w:pPr>
      <w:r>
        <w:t>Answer and feedback guidance</w:t>
      </w:r>
    </w:p>
    <w:p>
      <w:pPr>
        <w:pStyle w:val="ListBullet"/>
        <w:spacing w:after="60"/>
      </w:pPr>
      <w:r>
        <w:t>Accept labelled drawings, oral answers or scribing.</w:t>
      </w:r>
    </w:p>
    <w:p>
      <w:pPr>
        <w:pStyle w:val="ListBullet"/>
        <w:spacing w:after="60"/>
      </w:pPr>
      <w:r>
        <w:t>The real animal is living; the projected image and equipment are non-living.</w:t>
      </w:r>
    </w:p>
    <w:p>
      <w:pPr>
        <w:pStyle w:val="ListBullet"/>
        <w:spacing w:after="60"/>
      </w:pPr>
      <w:r>
        <w:t>A strong response names one feature, one habitat need and whether a detail is science, story or special effect.</w:t>
      </w:r>
    </w:p>
    <w:p>
      <w:r>
        <w:br w:type="page"/>
      </w:r>
    </w:p>
    <w:p>
      <w:pPr>
        <w:pStyle w:val="Heading1"/>
      </w:pPr>
      <w:r>
        <w:t>Operational, factual and cultural controls</w:t>
      </w:r>
    </w:p>
    <w:p>
      <w:pPr>
        <w:pStyle w:val="ListBullet"/>
        <w:spacing w:after="60"/>
      </w:pPr>
      <w:r>
        <w:t>Call the animals representations. The show is not a live-animal encounter, field survey, population sample or proof of range.</w:t>
      </w:r>
    </w:p>
    <w:p>
      <w:pPr>
        <w:pStyle w:val="ListBullet"/>
        <w:spacing w:after="60"/>
      </w:pPr>
      <w:r>
        <w:t>Keep unresolved assets at group level: bovine, dog-like canid, goat-like mountain animal, macaque-like, koi-like and crane-like.</w:t>
      </w:r>
    </w:p>
    <w:p>
      <w:pPr>
        <w:pStyle w:val="ListBullet"/>
        <w:spacing w:after="60"/>
      </w:pPr>
      <w:r>
        <w:t>Do not present Asia as one culture. Name the specific place or tradition only where the scene and sources support it.</w:t>
      </w:r>
    </w:p>
    <w:p>
      <w:pPr>
        <w:pStyle w:val="ListBullet"/>
        <w:spacing w:after="60"/>
      </w:pPr>
      <w:r>
        <w:t>Treat zodiac, moon-rabbit and dragon scenes as cultural representations, not biological classification or evidence.</w:t>
      </w:r>
    </w:p>
    <w:p>
      <w:pPr>
        <w:pStyle w:val="ListBullet"/>
        <w:spacing w:after="60"/>
      </w:pPr>
      <w:r>
        <w:t>Treat the Hong Kong underwater scene as a creative composite and the Hanako longevity number as disputed.</w:t>
      </w:r>
    </w:p>
    <w:p>
      <w:pPr>
        <w:pStyle w:val="ListBullet"/>
        <w:spacing w:after="60"/>
      </w:pPr>
      <w:r>
        <w:t>Use neutral behaviour language and preserve intentional silence during jumps, impacts and close approaches.</w:t>
      </w:r>
    </w:p>
    <w:p>
      <w:pPr>
        <w:pStyle w:val="Heading1"/>
      </w:pPr>
      <w:r>
        <w:t>Accessibility and differentiation</w:t>
      </w:r>
    </w:p>
    <w:p>
      <w:pPr>
        <w:pStyle w:val="ListBullet"/>
        <w:spacing w:after="60"/>
      </w:pPr>
      <w:r>
        <w:t>Offer oral, drawn, typed, photographed or scribed responses and a reduced-writing sheet.</w:t>
      </w:r>
    </w:p>
    <w:p>
      <w:pPr>
        <w:pStyle w:val="ListBullet"/>
        <w:spacing w:after="60"/>
      </w:pPr>
      <w:r>
        <w:t>Preview low light, moving viewpoint, animal sounds, horse impact, snake approach, rabbit jump, adult tiger reveal and close dragon effect.</w:t>
      </w:r>
    </w:p>
    <w:p>
      <w:pPr>
        <w:pStyle w:val="ListBullet"/>
        <w:spacing w:after="60"/>
      </w:pPr>
      <w:r>
        <w:t>Teachers and venue staff should agree on movement, seating, quiet-space and alternative-viewing arrangements.</w:t>
      </w:r>
    </w:p>
    <w:p>
      <w:pPr>
        <w:pStyle w:val="ListBullet"/>
        <w:spacing w:after="60"/>
      </w:pPr>
      <w:r>
        <w:t>Do not require writing while walking; provide vocabulary, animal-feature and science/story cards in advance.</w:t>
      </w:r>
    </w:p>
    <w:p>
      <w:pPr>
        <w:pStyle w:val="Heading1"/>
      </w:pPr>
      <w:r>
        <w:t>Approval gate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5000"/>
        <w:gridCol w:w="3000"/>
        <w:gridCol w:w="2205"/>
      </w:tblGrid>
      <w:tr>
        <w:trPr>
          <w:cantSplit/>
          <w:tblHeader w:val="true"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Check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Reviewer</w:t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Status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All 20 installed files match register and runtime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Controlled animal labels confirmed or retained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Science, curriculum and cultural review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Spoken timing, silence windows and accessibility checked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</w:tbl>
    <w:p>
      <w:pPr>
        <w:pStyle w:val="Heading1"/>
      </w:pPr>
      <w:r>
        <w:t>Authoritative sources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Victorian Curriculum F-10 Version 2.0 - Science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VCAA - Science scope and sequence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Smithsonian National Zoo - Tiger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Smithsonian National Zoo - Giant panda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PubMed / Primates - Japanese macaque hot-spring study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San Diego Zoo Wildlife Alliance - Chinese giant salamander</w:t>
        </w:r>
      </w:hyperlink>
    </w:p>
    <w:p>
      <w:pPr>
        <w:pStyle w:val="ListBullet"/>
        <w:spacing w:after="60"/>
      </w:pPr>
      <w:hyperlink r:id="rId17">
        <w:r>
          <w:rPr>
            <w:color w:val="087F7C"/>
            <w:u w:val="single"/>
          </w:rPr>
          <w:t>Smithsonian National Zoo - Red-crowned crane</w:t>
        </w:r>
      </w:hyperlink>
    </w:p>
    <w:p>
      <w:pPr>
        <w:pStyle w:val="ListBullet"/>
        <w:spacing w:after="60"/>
      </w:pPr>
      <w:hyperlink r:id="rId18">
        <w:r>
          <w:rPr>
            <w:color w:val="087F7C"/>
            <w:u w:val="single"/>
          </w:rPr>
          <w:t>Hong Kong AFCD - Reptiles of Hong Kong</w:t>
        </w:r>
      </w:hyperlink>
    </w:p>
    <w:p>
      <w:pPr>
        <w:pStyle w:val="ListBullet"/>
        <w:spacing w:after="60"/>
      </w:pPr>
      <w:hyperlink r:id="rId19">
        <w:r>
          <w:rPr>
            <w:color w:val="087F7C"/>
            <w:u w:val="single"/>
          </w:rPr>
          <w:t>Smithsonian - Chinese zodiac sequence</w:t>
        </w:r>
      </w:hyperlink>
    </w:p>
    <w:p>
      <w:pPr>
        <w:pStyle w:val="ListBullet"/>
        <w:spacing w:after="60"/>
      </w:pPr>
      <w:hyperlink r:id="rId20">
        <w:r>
          <w:rPr>
            <w:color w:val="087F7C"/>
            <w:u w:val="single"/>
          </w:rPr>
          <w:t>Smithsonian Hirshhorn - Zodiac dragon</w:t>
        </w:r>
      </w:hyperlink>
    </w:p>
    <w:p>
      <w:pPr>
        <w:pStyle w:val="ListBullet"/>
        <w:spacing w:after="60"/>
      </w:pPr>
      <w:hyperlink r:id="rId21">
        <w:r>
          <w:rPr>
            <w:color w:val="087F7C"/>
            <w:u w:val="single"/>
          </w:rPr>
          <w:t>Smithsonian Hirshhorn - Moon rabbit story</w:t>
        </w:r>
      </w:hyperlink>
    </w:p>
    <w:p>
      <w:pPr>
        <w:pStyle w:val="ListBullet"/>
        <w:spacing w:after="60"/>
      </w:pPr>
      <w:hyperlink r:id="rId22">
        <w:r>
          <w:rPr>
            <w:color w:val="087F7C"/>
            <w:u w:val="single"/>
          </w:rPr>
          <w:t>Nature - Grey wolf genomic history and dog ancestry</w:t>
        </w:r>
      </w:hyperlink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Curriculum and factual sources checked 14 August 2026. Recheck current study designs, facts and links before public release.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TEACHER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f10.vcaa.vic.edu.au/learning-areas/science/curriculum" TargetMode="External"/><Relationship Id="rId12" Type="http://schemas.openxmlformats.org/officeDocument/2006/relationships/hyperlink" Target="https://f10.vcaa.vic.edu.au/learning-areas/science/scope-and-sequence" TargetMode="External"/><Relationship Id="rId13" Type="http://schemas.openxmlformats.org/officeDocument/2006/relationships/hyperlink" Target="https://nationalzoo.si.edu/animals/tiger" TargetMode="External"/><Relationship Id="rId14" Type="http://schemas.openxmlformats.org/officeDocument/2006/relationships/hyperlink" Target="https://nationalzoo.si.edu/animals/giant-panda" TargetMode="External"/><Relationship Id="rId15" Type="http://schemas.openxmlformats.org/officeDocument/2006/relationships/hyperlink" Target="https://pubmed.ncbi.nlm.nih.gov/29616368/" TargetMode="External"/><Relationship Id="rId16" Type="http://schemas.openxmlformats.org/officeDocument/2006/relationships/hyperlink" Target="https://animals.sandiegozoo.org/animals/chinese-giant-salamander" TargetMode="External"/><Relationship Id="rId17" Type="http://schemas.openxmlformats.org/officeDocument/2006/relationships/hyperlink" Target="https://nationalzoo.si.edu/animals/red-crowned-crane" TargetMode="External"/><Relationship Id="rId18" Type="http://schemas.openxmlformats.org/officeDocument/2006/relationships/hyperlink" Target="https://www.afcd.gov.hk/english/conservation/hkbiodiversity/speciesgroup/speciesgroup_reptiles.html" TargetMode="External"/><Relationship Id="rId19" Type="http://schemas.openxmlformats.org/officeDocument/2006/relationships/hyperlink" Target="https://www.si.edu/events/lunar-new-year" TargetMode="External"/><Relationship Id="rId20" Type="http://schemas.openxmlformats.org/officeDocument/2006/relationships/hyperlink" Target="https://hirshhorn.si.edu/explore/zodiac-heads-dragon/" TargetMode="External"/><Relationship Id="rId21" Type="http://schemas.openxmlformats.org/officeDocument/2006/relationships/hyperlink" Target="https://hirshhorn.si.edu/explore/zodiac-heads-rabbit/" TargetMode="External"/><Relationship Id="rId22" Type="http://schemas.openxmlformats.org/officeDocument/2006/relationships/hyperlink" Target="https://www.nature.com/articles/s41586-022-04824-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Animal and Story Detectives - Foundation-Year 2 Teacher Guide</dc:title>
  <dc:subject>Teacher guidance and curriculum mapping for Foundation-Year 2</dc:subject>
  <dc:creator>Hologram Zoo Melbourne</dc:creator>
  <cp:keywords>Hologram Zoo, Asia, Foundation-Year 2, Victorian Curriculum Version 2.0, science, culture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