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Polar Animal Detectives</w:t>
      </w:r>
    </w:p>
    <w:p>
      <w:pPr>
        <w:spacing w:after="160"/>
      </w:pPr>
      <w:r>
        <w:rPr>
          <w:rFonts w:ascii="Arial" w:hAnsi="Arial"/>
          <w:b/>
          <w:color w:val="9B6816"/>
          <w:sz w:val="22"/>
        </w:rPr>
        <w:t>teacher guide  |  Foundation-Year 2  |  Arctic experience</w:t>
      </w:r>
    </w:p>
    <w:p>
      <w:pPr>
        <w:spacing w:after="140"/>
      </w:pPr>
      <w:r>
        <w:rPr>
          <w:rFonts w:ascii="Arial" w:hAnsi="Arial"/>
          <w:b/>
          <w:color w:val="5F6D65"/>
          <w:sz w:val="18"/>
        </w:rPr>
        <w:t>Release candidate 0.9  |  Reviewed 14 August 2026  |  Curriculum-linked release candidate</w:t>
      </w:r>
    </w:p>
    <w:p>
      <w:pPr>
        <w:spacing w:before="40" w:after="140"/>
        <w:shd w:fill="E5F5F2"/>
      </w:pPr>
      <w:r>
        <w:rPr>
          <w:rFonts w:ascii="Arial" w:hAnsi="Arial"/>
          <w:b/>
          <w:color w:val="24513A"/>
        </w:rPr>
        <w:t xml:space="preserve">Program position: </w:t>
      </w:r>
      <w:r>
        <w:rPr>
          <w:rFonts w:ascii="Arial" w:hAnsi="Arial"/>
          <w:color w:val="26332D"/>
        </w:rPr>
        <w:t>Students observe represented animals and weather patterns, compare north and south polar habitats, identify external features and communicate questions. The animals are moving digital images, not live animals.</w:t>
      </w:r>
    </w:p>
    <w:p>
      <w:pPr>
        <w:pStyle w:val="Heading1"/>
      </w:pPr>
      <w:r>
        <w:t>At a glance</w:t>
      </w:r>
    </w:p>
    <w:tbl>
      <w:tblPr>
        <w:tblStyle w:val="TableGrid"/>
        <w:tblW w:type="dxa" w:w="10205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2200"/>
        <w:gridCol w:w="2100"/>
        <w:gridCol w:w="5905"/>
      </w:tblGrid>
      <w:tr>
        <w:trPr>
          <w:cantSplit/>
          <w:tblHeader w:val="true"/>
        </w:trPr>
        <w:tc>
          <w:tcPr>
            <w:tcW w:type="dxa" w:w="2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18"/>
              </w:rPr>
              <w:t>Phase</w:t>
            </w:r>
          </w:p>
        </w:tc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18"/>
              </w:rPr>
              <w:t>Suggested time</w:t>
            </w:r>
          </w:p>
        </w:tc>
        <w:tc>
          <w:tcPr>
            <w:tcW w:type="dxa" w:w="59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18"/>
              </w:rPr>
              <w:t>Evidence</w:t>
            </w:r>
          </w:p>
        </w:tc>
      </w:tr>
      <w:tr>
        <w:trPr>
          <w:cantSplit/>
        </w:trPr>
        <w:tc>
          <w:tcPr>
            <w:tcW w:type="dxa" w:w="2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Before / arrival</w:t>
            </w:r>
          </w:p>
        </w:tc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10–15 minutes</w:t>
            </w:r>
          </w:p>
        </w:tc>
        <w:tc>
          <w:tcPr>
            <w:tcW w:type="dxa" w:w="59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Vocabulary, pole map and representation expectations</w:t>
            </w:r>
          </w:p>
        </w:tc>
      </w:tr>
      <w:tr>
        <w:trPr>
          <w:cantSplit/>
        </w:trPr>
        <w:tc>
          <w:tcPr>
            <w:tcW w:type="dxa" w:w="2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During</w:t>
            </w:r>
          </w:p>
        </w:tc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About 16 minutes plus movement</w:t>
            </w:r>
          </w:p>
        </w:tc>
        <w:tc>
          <w:tcPr>
            <w:tcW w:type="dxa" w:w="59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Three brief observations and questions</w:t>
            </w:r>
          </w:p>
        </w:tc>
      </w:tr>
      <w:tr>
        <w:trPr>
          <w:cantSplit/>
        </w:trPr>
        <w:tc>
          <w:tcPr>
            <w:tcW w:type="dxa" w:w="2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Post-show</w:t>
            </w:r>
          </w:p>
        </w:tc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45–75 minutes</w:t>
            </w:r>
          </w:p>
        </w:tc>
        <w:tc>
          <w:tcPr>
            <w:tcW w:type="dxa" w:w="59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External features; Habitat needs; North and south patterns; Observation communication</w:t>
            </w:r>
          </w:p>
        </w:tc>
      </w:tr>
      <w:tr>
        <w:trPr>
          <w:cantSplit/>
        </w:trPr>
        <w:tc>
          <w:tcPr>
            <w:tcW w:type="dxa" w:w="22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Communication</w:t>
            </w:r>
          </w:p>
        </w:tc>
        <w:tc>
          <w:tcPr>
            <w:tcW w:type="dxa" w:w="21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20–40 minutes</w:t>
            </w:r>
          </w:p>
        </w:tc>
        <w:tc>
          <w:tcPr>
            <w:tcW w:type="dxa" w:w="59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Audience-focused explanation, model or briefing</w:t>
            </w:r>
          </w:p>
        </w:tc>
      </w:tr>
    </w:tbl>
    <w:p>
      <w:pPr>
        <w:pStyle w:val="Heading1"/>
      </w:pPr>
      <w:r>
        <w:t>Learning intentions</w:t>
      </w:r>
    </w:p>
    <w:p>
      <w:pPr>
        <w:pStyle w:val="ListBullet"/>
        <w:spacing w:after="60"/>
      </w:pPr>
      <w:r>
        <w:t>Students develop evidence about external features.</w:t>
      </w:r>
    </w:p>
    <w:p>
      <w:pPr>
        <w:pStyle w:val="ListBullet"/>
        <w:spacing w:after="60"/>
      </w:pPr>
      <w:r>
        <w:t>Students develop evidence about habitat needs.</w:t>
      </w:r>
    </w:p>
    <w:p>
      <w:pPr>
        <w:pStyle w:val="ListBullet"/>
        <w:spacing w:after="60"/>
      </w:pPr>
      <w:r>
        <w:t>Students develop evidence about north and south patterns.</w:t>
      </w:r>
    </w:p>
    <w:p>
      <w:pPr>
        <w:pStyle w:val="ListBullet"/>
        <w:spacing w:after="60"/>
      </w:pPr>
      <w:r>
        <w:t>Students develop evidence about observation communication.</w:t>
      </w:r>
    </w:p>
    <w:p>
      <w:r>
        <w:br w:type="page"/>
      </w:r>
    </w:p>
    <w:p>
      <w:pPr>
        <w:pStyle w:val="Heading1"/>
      </w:pPr>
      <w:r>
        <w:t>Victorian curriculum mapping</w:t>
      </w:r>
    </w:p>
    <w:tbl>
      <w:tblPr>
        <w:tblStyle w:val="TableGrid"/>
        <w:tblW w:type="dxa" w:w="10205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2900"/>
        <w:gridCol w:w="3900"/>
        <w:gridCol w:w="3405"/>
      </w:tblGrid>
      <w:tr>
        <w:trPr>
          <w:cantSplit/>
          <w:tblHeader w:val="true"/>
        </w:trPr>
        <w:tc>
          <w:tcPr>
            <w:tcW w:type="dxa" w:w="2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17"/>
              </w:rPr>
              <w:t>Code / study component</w:t>
            </w:r>
          </w:p>
        </w:tc>
        <w:tc>
          <w:tcPr>
            <w:tcW w:type="dxa" w:w="3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17"/>
              </w:rPr>
              <w:t>Curriculum intent</w:t>
            </w:r>
          </w:p>
        </w:tc>
        <w:tc>
          <w:tcPr>
            <w:tcW w:type="dxa" w:w="34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17"/>
              </w:rPr>
              <w:t>Evidence in this pack</w:t>
            </w:r>
          </w:p>
        </w:tc>
      </w:tr>
      <w:tr>
        <w:trPr>
          <w:cantSplit/>
        </w:trPr>
        <w:tc>
          <w:tcPr>
            <w:tcW w:type="dxa" w:w="2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VC2S2H01</w:t>
            </w:r>
          </w:p>
        </w:tc>
        <w:tc>
          <w:tcPr>
            <w:tcW w:type="dxa" w:w="3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People use observations and science in daily life.</w:t>
            </w:r>
          </w:p>
        </w:tc>
        <w:tc>
          <w:tcPr>
            <w:tcW w:type="dxa" w:w="34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Students check where polar animals live and explain a habitat choice.</w:t>
            </w:r>
          </w:p>
        </w:tc>
      </w:tr>
      <w:tr>
        <w:trPr>
          <w:cantSplit/>
        </w:trPr>
        <w:tc>
          <w:tcPr>
            <w:tcW w:type="dxa" w:w="2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VC2S2U01</w:t>
            </w:r>
          </w:p>
        </w:tc>
        <w:tc>
          <w:tcPr>
            <w:tcW w:type="dxa" w:w="3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Living things have features and can be grouped.</w:t>
            </w:r>
          </w:p>
        </w:tc>
        <w:tc>
          <w:tcPr>
            <w:tcW w:type="dxa" w:w="34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Feature hunt and animal-group sort.</w:t>
            </w:r>
          </w:p>
        </w:tc>
      </w:tr>
      <w:tr>
        <w:trPr>
          <w:cantSplit/>
        </w:trPr>
        <w:tc>
          <w:tcPr>
            <w:tcW w:type="dxa" w:w="2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VC2S2U02</w:t>
            </w:r>
          </w:p>
        </w:tc>
        <w:tc>
          <w:tcPr>
            <w:tcW w:type="dxa" w:w="3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Living things grow, change and have life cycles.</w:t>
            </w:r>
          </w:p>
        </w:tc>
        <w:tc>
          <w:tcPr>
            <w:tcW w:type="dxa" w:w="34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Adult, chick, cub and calf comparisons.</w:t>
            </w:r>
          </w:p>
        </w:tc>
      </w:tr>
      <w:tr>
        <w:trPr>
          <w:cantSplit/>
        </w:trPr>
        <w:tc>
          <w:tcPr>
            <w:tcW w:type="dxa" w:w="2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VC2S2U03</w:t>
            </w:r>
          </w:p>
        </w:tc>
        <w:tc>
          <w:tcPr>
            <w:tcW w:type="dxa" w:w="3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Living things live in habitats that meet their needs.</w:t>
            </w:r>
          </w:p>
        </w:tc>
        <w:tc>
          <w:tcPr>
            <w:tcW w:type="dxa" w:w="34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Arctic and Antarctic habitat-needs comparison.</w:t>
            </w:r>
          </w:p>
        </w:tc>
      </w:tr>
      <w:tr>
        <w:trPr>
          <w:cantSplit/>
        </w:trPr>
        <w:tc>
          <w:tcPr>
            <w:tcW w:type="dxa" w:w="2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VC2S2I03-VC2S2I04</w:t>
            </w:r>
          </w:p>
        </w:tc>
        <w:tc>
          <w:tcPr>
            <w:tcW w:type="dxa" w:w="3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Observations and informal data can be recorded and represented.</w:t>
            </w:r>
          </w:p>
        </w:tc>
        <w:tc>
          <w:tcPr>
            <w:tcW w:type="dxa" w:w="34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Tally, drawing and labelled observation.</w:t>
            </w:r>
          </w:p>
        </w:tc>
      </w:tr>
      <w:tr>
        <w:trPr>
          <w:cantSplit/>
        </w:trPr>
        <w:tc>
          <w:tcPr>
            <w:tcW w:type="dxa" w:w="2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VC2S2I06</w:t>
            </w:r>
          </w:p>
        </w:tc>
        <w:tc>
          <w:tcPr>
            <w:tcW w:type="dxa" w:w="39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Observations and ideas are communicated for a purpose.</w:t>
            </w:r>
          </w:p>
        </w:tc>
        <w:tc>
          <w:tcPr>
            <w:tcW w:type="dxa" w:w="34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7"/>
              </w:rPr>
              <w:t>Short polar-animal guide.</w:t>
            </w:r>
          </w:p>
        </w:tc>
      </w:tr>
    </w:tbl>
    <w:p>
      <w:pPr>
        <w:spacing w:before="40" w:after="140"/>
        <w:shd w:fill="FBF1D8"/>
      </w:pPr>
      <w:r>
        <w:rPr>
          <w:rFonts w:ascii="Arial" w:hAnsi="Arial"/>
          <w:b/>
          <w:color w:val="24513A"/>
        </w:rPr>
        <w:t xml:space="preserve">Mapping rule: </w:t>
      </w:r>
      <w:r>
        <w:rPr>
          <w:rFonts w:ascii="Arial" w:hAnsi="Arial"/>
          <w:color w:val="26332D"/>
        </w:rPr>
        <w:t>This pack supports selected curriculum evidence. It does not cover an entire achievement standard, VCE outcome or assessment task.</w:t>
      </w:r>
    </w:p>
    <w:p>
      <w:pPr>
        <w:pStyle w:val="Heading1"/>
      </w:pPr>
      <w:r>
        <w:t>Teaching sequence</w:t>
      </w:r>
    </w:p>
    <w:p>
      <w:pPr>
        <w:pStyle w:val="ListBullet"/>
        <w:spacing w:after="60"/>
      </w:pPr>
      <w:r>
        <w:t>Before: locate Arctic and Antarctic; introduce observation, inference, source evidence and creative representation.</w:t>
      </w:r>
    </w:p>
    <w:p>
      <w:pPr>
        <w:pStyle w:val="ListBullet"/>
        <w:spacing w:after="60"/>
      </w:pPr>
      <w:r>
        <w:t>During: ask students to watch first and capture only three quick observations where safe.</w:t>
      </w:r>
    </w:p>
    <w:p>
      <w:pPr>
        <w:pStyle w:val="ListBullet"/>
        <w:spacing w:after="60"/>
      </w:pPr>
      <w:r>
        <w:t>After: use supplied authoritative sources to correct mixed-pole scenes and develop the level task.</w:t>
      </w:r>
    </w:p>
    <w:p>
      <w:pPr>
        <w:pStyle w:val="ListBullet"/>
        <w:spacing w:after="60"/>
      </w:pPr>
      <w:r>
        <w:t>Communicate: require a named audience, accurate vocabulary and visible source acknowledgement.</w:t>
      </w:r>
    </w:p>
    <w:p>
      <w:pPr>
        <w:pStyle w:val="Heading1"/>
      </w:pPr>
      <w:r>
        <w:t>Answer and feedback guidance</w:t>
      </w:r>
    </w:p>
    <w:p>
      <w:pPr>
        <w:pStyle w:val="ListBullet"/>
        <w:spacing w:after="60"/>
      </w:pPr>
      <w:r>
        <w:t>Accept labelled drawings, oral answers or scribing.</w:t>
      </w:r>
    </w:p>
    <w:p>
      <w:pPr>
        <w:pStyle w:val="ListBullet"/>
        <w:spacing w:after="60"/>
      </w:pPr>
      <w:r>
        <w:t>Polar bears and walruses belong in the Arctic/north; penguins belong naturally in the Southern Hemisphere.</w:t>
      </w:r>
    </w:p>
    <w:p>
      <w:pPr>
        <w:pStyle w:val="ListBullet"/>
        <w:spacing w:after="60"/>
      </w:pPr>
      <w:r>
        <w:t>The real animal is living; the projected image and hardware are non-living.</w:t>
      </w:r>
    </w:p>
    <w:p>
      <w:r>
        <w:br w:type="page"/>
      </w:r>
    </w:p>
    <w:p>
      <w:pPr>
        <w:pStyle w:val="Heading1"/>
      </w:pPr>
      <w:r>
        <w:t>Operational, factual and ethical controls</w:t>
      </w:r>
    </w:p>
    <w:p>
      <w:pPr>
        <w:pStyle w:val="ListBullet"/>
        <w:spacing w:after="60"/>
      </w:pPr>
      <w:r>
        <w:t>Call the animals representations. The show is not a live-animal encounter, field survey or population sample.</w:t>
      </w:r>
    </w:p>
    <w:p>
      <w:pPr>
        <w:pStyle w:val="ListBullet"/>
        <w:spacing w:after="60"/>
      </w:pPr>
      <w:r>
        <w:t>Keep uncertain penguins as crested, emperor-like or king-/emperor-like until the venue confirms the assets.</w:t>
      </w:r>
    </w:p>
    <w:p>
      <w:pPr>
        <w:pStyle w:val="ListBullet"/>
        <w:spacing w:after="60"/>
      </w:pPr>
      <w:r>
        <w:t>Keep seal labels generic unless the asset list supports a species.</w:t>
      </w:r>
    </w:p>
    <w:p>
      <w:pPr>
        <w:pStyle w:val="ListBullet"/>
        <w:spacing w:after="60"/>
      </w:pPr>
      <w:r>
        <w:t>Explicitly correct Arctic–Antarctic mixtures; never imply that polar bears, walruses and penguins naturally share one polar habitat.</w:t>
      </w:r>
    </w:p>
    <w:p>
      <w:pPr>
        <w:pStyle w:val="ListBullet"/>
        <w:spacing w:after="60"/>
      </w:pPr>
      <w:r>
        <w:t>Treat multi-adult polar-bear groups, fireplace, attacks, flooding and several chicks beside one adult as creative design.</w:t>
      </w:r>
    </w:p>
    <w:p>
      <w:pPr>
        <w:pStyle w:val="ListBullet"/>
        <w:spacing w:after="60"/>
      </w:pPr>
      <w:r>
        <w:t>Use blubber rather than body-shaming language, and use evidence-based wording rather than villain or attack stereotypes.</w:t>
      </w:r>
    </w:p>
    <w:p>
      <w:pPr>
        <w:pStyle w:val="Heading1"/>
      </w:pPr>
      <w:r>
        <w:t>Accessibility and differentiation</w:t>
      </w:r>
    </w:p>
    <w:p>
      <w:pPr>
        <w:pStyle w:val="ListBullet"/>
        <w:spacing w:after="60"/>
      </w:pPr>
      <w:r>
        <w:t>Offer oral, drawn, typed, photographed or scribed responses and a reduced-writing sheet.</w:t>
      </w:r>
    </w:p>
    <w:p>
      <w:pPr>
        <w:pStyle w:val="ListBullet"/>
        <w:spacing w:after="60"/>
      </w:pPr>
      <w:r>
        <w:t>Preview low light, moving viewpoint, animal sounds, close whales, giant-squid drop, seal surprise, orca impacts, flooding and close bear effects.</w:t>
      </w:r>
    </w:p>
    <w:p>
      <w:pPr>
        <w:pStyle w:val="ListBullet"/>
        <w:spacing w:after="60"/>
      </w:pPr>
      <w:r>
        <w:t>Teachers and venue staff should agree on movement, seating, quiet-space and alternative-viewing arrangements.</w:t>
      </w:r>
    </w:p>
    <w:p>
      <w:pPr>
        <w:pStyle w:val="ListBullet"/>
        <w:spacing w:after="60"/>
      </w:pPr>
      <w:r>
        <w:t>Do not require writing while walking; provide vocabulary and north/south animal cards in advance.</w:t>
      </w:r>
    </w:p>
    <w:p>
      <w:pPr>
        <w:pStyle w:val="Heading1"/>
      </w:pPr>
      <w:r>
        <w:t>Approval gate</w:t>
      </w:r>
    </w:p>
    <w:tbl>
      <w:tblPr>
        <w:tblStyle w:val="TableGrid"/>
        <w:tblW w:type="dxa" w:w="10205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5000"/>
        <w:gridCol w:w="3000"/>
        <w:gridCol w:w="2205"/>
      </w:tblGrid>
      <w:tr>
        <w:trPr>
          <w:cantSplit/>
          <w:tblHeader w:val="true"/>
        </w:trPr>
        <w:tc>
          <w:tcPr>
            <w:tcW w:type="dxa" w:w="50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18"/>
              </w:rPr>
              <w:t>Check</w:t>
            </w:r>
          </w:p>
        </w:tc>
        <w:tc>
          <w:tcPr>
            <w:tcW w:type="dxa" w:w="30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18"/>
              </w:rPr>
              <w:t>Reviewer</w:t>
            </w:r>
          </w:p>
        </w:tc>
        <w:tc>
          <w:tcPr>
            <w:tcW w:type="dxa" w:w="2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  <w:shd w:fill="24513A"/>
          </w:tcPr>
          <w:p>
            <w:pPr>
              <w:spacing w:after="40" w:line="252" w:lineRule="auto"/>
            </w:pPr>
            <w:r>
              <w:rPr>
                <w:rFonts w:ascii="Arial" w:hAnsi="Arial"/>
                <w:b/>
                <w:color w:val="FFFFFF"/>
                <w:sz w:val="18"/>
              </w:rPr>
              <w:t>Status</w:t>
            </w:r>
          </w:p>
        </w:tc>
      </w:tr>
      <w:tr>
        <w:trPr>
          <w:cantSplit/>
        </w:trPr>
        <w:tc>
          <w:tcPr>
            <w:tcW w:type="dxa" w:w="50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All 20 installed files match register and runtime</w:t>
            </w:r>
          </w:p>
        </w:tc>
        <w:tc>
          <w:tcPr>
            <w:tcW w:type="dxa" w:w="30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</w:r>
          </w:p>
        </w:tc>
        <w:tc>
          <w:tcPr>
            <w:tcW w:type="dxa" w:w="2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Pending</w:t>
            </w:r>
          </w:p>
        </w:tc>
      </w:tr>
      <w:tr>
        <w:trPr>
          <w:cantSplit/>
        </w:trPr>
        <w:tc>
          <w:tcPr>
            <w:tcW w:type="dxa" w:w="50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Penguin and seal labels confirmed or kept generic</w:t>
            </w:r>
          </w:p>
        </w:tc>
        <w:tc>
          <w:tcPr>
            <w:tcW w:type="dxa" w:w="30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</w:r>
          </w:p>
        </w:tc>
        <w:tc>
          <w:tcPr>
            <w:tcW w:type="dxa" w:w="2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Pending</w:t>
            </w:r>
          </w:p>
        </w:tc>
      </w:tr>
      <w:tr>
        <w:trPr>
          <w:cantSplit/>
        </w:trPr>
        <w:tc>
          <w:tcPr>
            <w:tcW w:type="dxa" w:w="50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Science and curriculum review</w:t>
            </w:r>
          </w:p>
        </w:tc>
        <w:tc>
          <w:tcPr>
            <w:tcW w:type="dxa" w:w="30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</w:r>
          </w:p>
        </w:tc>
        <w:tc>
          <w:tcPr>
            <w:tcW w:type="dxa" w:w="2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Pending</w:t>
            </w:r>
          </w:p>
        </w:tc>
      </w:tr>
      <w:tr>
        <w:trPr>
          <w:cantSplit/>
        </w:trPr>
        <w:tc>
          <w:tcPr>
            <w:tcW w:type="dxa" w:w="50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Spoken timing, silence windows and accessibility checked</w:t>
            </w:r>
          </w:p>
        </w:tc>
        <w:tc>
          <w:tcPr>
            <w:tcW w:type="dxa" w:w="3000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</w:r>
          </w:p>
        </w:tc>
        <w:tc>
          <w:tcPr>
            <w:tcW w:type="dxa" w:w="2205"/>
            <w:vAlign w:val="center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pPr>
              <w:spacing w:after="40" w:line="252" w:lineRule="auto"/>
            </w:pPr>
            <w:r>
              <w:rPr>
                <w:rFonts w:ascii="Arial" w:hAnsi="Arial"/>
                <w:color w:val="26332D"/>
                <w:sz w:val="18"/>
              </w:rPr>
              <w:t>Pending</w:t>
            </w:r>
          </w:p>
        </w:tc>
      </w:tr>
    </w:tbl>
    <w:p>
      <w:pPr>
        <w:pStyle w:val="Heading1"/>
      </w:pPr>
      <w:r>
        <w:t>Authoritative sources</w:t>
      </w:r>
    </w:p>
    <w:p>
      <w:pPr>
        <w:pStyle w:val="ListBullet"/>
        <w:spacing w:after="60"/>
      </w:pPr>
      <w:hyperlink r:id="rId11">
        <w:r>
          <w:rPr>
            <w:color w:val="087F7C"/>
            <w:u w:val="single"/>
          </w:rPr>
          <w:t>Victorian Curriculum F–10 Version 2.0 — Science</w:t>
        </w:r>
      </w:hyperlink>
    </w:p>
    <w:p>
      <w:pPr>
        <w:pStyle w:val="ListBullet"/>
        <w:spacing w:after="60"/>
      </w:pPr>
      <w:hyperlink r:id="rId12">
        <w:r>
          <w:rPr>
            <w:color w:val="087F7C"/>
            <w:u w:val="single"/>
          </w:rPr>
          <w:t>VCAA — Science scope and sequence</w:t>
        </w:r>
      </w:hyperlink>
    </w:p>
    <w:p>
      <w:pPr>
        <w:pStyle w:val="ListBullet"/>
        <w:spacing w:after="60"/>
      </w:pPr>
      <w:hyperlink r:id="rId13">
        <w:r>
          <w:rPr>
            <w:color w:val="087F7C"/>
            <w:u w:val="single"/>
          </w:rPr>
          <w:t>Australian Antarctic Program — Penguins</w:t>
        </w:r>
      </w:hyperlink>
    </w:p>
    <w:p>
      <w:pPr>
        <w:pStyle w:val="ListBullet"/>
        <w:spacing w:after="60"/>
      </w:pPr>
      <w:hyperlink r:id="rId14">
        <w:r>
          <w:rPr>
            <w:color w:val="087F7C"/>
            <w:u w:val="single"/>
          </w:rPr>
          <w:t>Australian Antarctic Program — Emperor penguin</w:t>
        </w:r>
      </w:hyperlink>
    </w:p>
    <w:p>
      <w:pPr>
        <w:pStyle w:val="ListBullet"/>
        <w:spacing w:after="60"/>
      </w:pPr>
      <w:hyperlink r:id="rId15">
        <w:r>
          <w:rPr>
            <w:color w:val="087F7C"/>
            <w:u w:val="single"/>
          </w:rPr>
          <w:t>Australian Antarctic Program — Emperor penguin breeding cycle</w:t>
        </w:r>
      </w:hyperlink>
    </w:p>
    <w:p>
      <w:pPr>
        <w:pStyle w:val="ListBullet"/>
        <w:spacing w:after="60"/>
      </w:pPr>
      <w:hyperlink r:id="rId16">
        <w:r>
          <w:rPr>
            <w:color w:val="087F7C"/>
            <w:u w:val="single"/>
          </w:rPr>
          <w:t>Australian Antarctic Program — King penguin</w:t>
        </w:r>
      </w:hyperlink>
    </w:p>
    <w:p>
      <w:pPr>
        <w:pStyle w:val="ListBullet"/>
        <w:spacing w:after="60"/>
      </w:pPr>
      <w:hyperlink r:id="rId17">
        <w:r>
          <w:rPr>
            <w:color w:val="087F7C"/>
            <w:u w:val="single"/>
          </w:rPr>
          <w:t>Australian Antarctic Program — Aurora</w:t>
        </w:r>
      </w:hyperlink>
    </w:p>
    <w:p>
      <w:pPr>
        <w:pStyle w:val="ListBullet"/>
        <w:spacing w:after="60"/>
      </w:pPr>
      <w:hyperlink r:id="rId18">
        <w:r>
          <w:rPr>
            <w:color w:val="087F7C"/>
            <w:u w:val="single"/>
          </w:rPr>
          <w:t>NOAA Fisheries — Beluga whale</w:t>
        </w:r>
      </w:hyperlink>
    </w:p>
    <w:p>
      <w:pPr>
        <w:pStyle w:val="ListBullet"/>
        <w:spacing w:after="60"/>
      </w:pPr>
      <w:hyperlink r:id="rId19">
        <w:r>
          <w:rPr>
            <w:color w:val="087F7C"/>
            <w:u w:val="single"/>
          </w:rPr>
          <w:t>NOAA Fisheries — Killer whale</w:t>
        </w:r>
      </w:hyperlink>
    </w:p>
    <w:p>
      <w:pPr>
        <w:pStyle w:val="ListBullet"/>
        <w:spacing w:after="60"/>
      </w:pPr>
      <w:hyperlink r:id="rId20">
        <w:r>
          <w:rPr>
            <w:color w:val="087F7C"/>
            <w:u w:val="single"/>
          </w:rPr>
          <w:t>NOAA Fisheries — Sperm whale</w:t>
        </w:r>
      </w:hyperlink>
    </w:p>
    <w:p>
      <w:pPr>
        <w:pStyle w:val="ListBullet"/>
        <w:spacing w:after="60"/>
      </w:pPr>
      <w:hyperlink r:id="rId21">
        <w:r>
          <w:rPr>
            <w:color w:val="087F7C"/>
            <w:u w:val="single"/>
          </w:rPr>
          <w:t>NOAA Fisheries — Humpback whale evidence</w:t>
        </w:r>
      </w:hyperlink>
    </w:p>
    <w:p>
      <w:pPr>
        <w:pStyle w:val="ListBullet"/>
        <w:spacing w:after="60"/>
      </w:pPr>
      <w:hyperlink r:id="rId22">
        <w:r>
          <w:rPr>
            <w:color w:val="087F7C"/>
            <w:u w:val="single"/>
          </w:rPr>
          <w:t>U.S. Fish &amp; Wildlife Service — Polar bear</w:t>
        </w:r>
      </w:hyperlink>
    </w:p>
    <w:p>
      <w:pPr>
        <w:pStyle w:val="ListBullet"/>
        <w:spacing w:after="60"/>
      </w:pPr>
      <w:hyperlink r:id="rId23">
        <w:r>
          <w:rPr>
            <w:color w:val="087F7C"/>
            <w:u w:val="single"/>
          </w:rPr>
          <w:t>U.S. Fish &amp; Wildlife Service — Walrus</w:t>
        </w:r>
      </w:hyperlink>
    </w:p>
    <w:p>
      <w:pPr>
        <w:pStyle w:val="ListBullet"/>
        <w:spacing w:after="60"/>
      </w:pPr>
      <w:hyperlink r:id="rId24">
        <w:r>
          <w:rPr>
            <w:color w:val="087F7C"/>
            <w:u w:val="single"/>
          </w:rPr>
          <w:t>Smithsonian Ocean — Giant squid</w:t>
        </w:r>
      </w:hyperlink>
    </w:p>
    <w:p>
      <w:pPr>
        <w:pStyle w:val="ListBullet"/>
        <w:spacing w:after="60"/>
      </w:pPr>
      <w:hyperlink r:id="rId25">
        <w:r>
          <w:rPr>
            <w:color w:val="087F7C"/>
            <w:u w:val="single"/>
          </w:rPr>
          <w:t>NOAA NESDIS — How snowflakes form</w:t>
        </w:r>
      </w:hyperlink>
    </w:p>
    <w:p>
      <w:pPr>
        <w:spacing w:after="80"/>
      </w:pPr>
      <w:r>
        <w:rPr>
          <w:rFonts w:ascii="Arial" w:hAnsi="Arial"/>
          <w:i/>
          <w:color w:val="5F6D65"/>
          <w:sz w:val="18"/>
        </w:rPr>
        <w:t>Curriculum and factual sources checked 14 August 2026. Recheck current study designs, facts and links before public release.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850" w:right="850" w:bottom="850" w:left="850" w:header="397" w:footer="39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center"/>
    </w:pPr>
    <w:r>
      <w:rPr>
        <w:rFonts w:ascii="Arial" w:hAnsi="Arial"/>
        <w:color w:val="5F6D65"/>
        <w:sz w:val="17"/>
      </w:rPr>
      <w:t xml:space="preserve">Victorian Curriculum F-10 Version 2.0  |  Review: 14 August 2026  |  Page </w:t>
    </w:r>
    <w:r>
      <w:rPr>
        <w:rFonts w:ascii="Arial" w:hAnsi="Arial"/>
        <w:color w:val="5F6D65"/>
        <w:sz w:val="17"/>
      </w:rPr>
      <w:fldChar w:fldCharType="begin"/>
      <w:instrText xml:space="preserve">PAGE</w:instrText>
      <w:fldChar w:fldCharType="separate"/>
      <w:t>1</w:t>
      <w:fldChar w:fldCharType="end"/>
    </w:r>
    <w:r>
      <w:rPr>
        <w:rFonts w:ascii="Arial" w:hAnsi="Arial"/>
        <w:color w:val="5F6D65"/>
        <w:sz w:val="17"/>
      </w:rPr>
      <w:t xml:space="preserve"> of </w:t>
    </w:r>
    <w:r>
      <w:rPr>
        <w:rFonts w:ascii="Arial" w:hAnsi="Arial"/>
        <w:color w:val="5F6D65"/>
        <w:sz w:val="17"/>
      </w:rPr>
      <w:fldChar w:fldCharType="begin"/>
      <w:instrText xml:space="preserve">NUMPAGES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Arial" w:hAnsi="Arial"/>
        <w:b/>
        <w:color w:val="087F7C"/>
        <w:sz w:val="16"/>
      </w:rPr>
      <w:t>HOLOGRAM ZOO MELBOURNE  |  EDUCATION  |  TEACHER GUIDE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00" w:line="276" w:lineRule="auto"/>
    </w:pPr>
    <w:rPr>
      <w:rFonts w:ascii="Arial" w:hAnsi="Arial"/>
      <w:color w:val="26332D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40" w:after="120"/>
      <w:outlineLvl w:val="0"/>
    </w:pPr>
    <w:rPr>
      <w:rFonts w:asciiTheme="majorHAnsi" w:eastAsiaTheme="majorEastAsia" w:hAnsiTheme="majorHAnsi" w:cstheme="majorBidi" w:ascii="Arial" w:hAnsi="Arial"/>
      <w:b/>
      <w:bCs/>
      <w:color w:val="087F7C"/>
      <w:sz w:val="3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 w:after="80"/>
      <w:outlineLvl w:val="1"/>
    </w:pPr>
    <w:rPr>
      <w:rFonts w:asciiTheme="majorHAnsi" w:eastAsiaTheme="majorEastAsia" w:hAnsiTheme="majorHAnsi" w:cstheme="majorBidi" w:ascii="Arial" w:hAnsi="Arial"/>
      <w:b/>
      <w:bCs/>
      <w:color w:val="24513A"/>
      <w:sz w:val="23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40" w:after="60"/>
      <w:outlineLvl w:val="2"/>
    </w:pPr>
    <w:rPr>
      <w:rFonts w:asciiTheme="majorHAnsi" w:eastAsiaTheme="majorEastAsia" w:hAnsiTheme="majorHAnsi" w:cstheme="majorBidi" w:ascii="Arial" w:hAnsi="Arial"/>
      <w:b/>
      <w:bCs/>
      <w:color w:val="24513A"/>
      <w:sz w:val="2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6" w:space="1" w:color="24513A" w:themeColor="accent1"/>
      </w:pBdr>
      <w:spacing w:after="80" w:line="240" w:lineRule="auto" w:before="0"/>
      <w:contextualSpacing/>
    </w:pPr>
    <w:rPr>
      <w:rFonts w:asciiTheme="majorHAnsi" w:eastAsiaTheme="majorEastAsia" w:hAnsiTheme="majorHAnsi" w:cstheme="majorBidi" w:ascii="Arial" w:hAnsi="Arial"/>
      <w:b/>
      <w:color w:val="24513A"/>
      <w:spacing w:val="5"/>
      <w:kern w:val="28"/>
      <w:sz w:val="44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f10.vcaa.vic.edu.au/learning-areas/science/curriculum" TargetMode="External"/><Relationship Id="rId12" Type="http://schemas.openxmlformats.org/officeDocument/2006/relationships/hyperlink" Target="https://f10.vcaa.vic.edu.au/learning-areas/science/scope-and-sequence" TargetMode="External"/><Relationship Id="rId13" Type="http://schemas.openxmlformats.org/officeDocument/2006/relationships/hyperlink" Target="https://www.antarctica.gov.au/about-antarctica/animals/penguins/" TargetMode="External"/><Relationship Id="rId14" Type="http://schemas.openxmlformats.org/officeDocument/2006/relationships/hyperlink" Target="https://www.antarctica.gov.au/about-antarctica/animals/penguins/emperor-penguin/" TargetMode="External"/><Relationship Id="rId15" Type="http://schemas.openxmlformats.org/officeDocument/2006/relationships/hyperlink" Target="https://www.antarctica.gov.au/about-antarctica/animals/penguins/emperor-penguin/breeding-cycle/" TargetMode="External"/><Relationship Id="rId16" Type="http://schemas.openxmlformats.org/officeDocument/2006/relationships/hyperlink" Target="https://www.antarctica.gov.au/about-antarctica/animals/penguins/king-penguin/" TargetMode="External"/><Relationship Id="rId17" Type="http://schemas.openxmlformats.org/officeDocument/2006/relationships/hyperlink" Target="https://www.antarctica.gov.au/about-antarctica/ice-and-atmosphere/atmosphere/from-the-ground-to-space/aurora/" TargetMode="External"/><Relationship Id="rId18" Type="http://schemas.openxmlformats.org/officeDocument/2006/relationships/hyperlink" Target="https://www.fisheries.noaa.gov/species/beluga-whale/conservation-management" TargetMode="External"/><Relationship Id="rId19" Type="http://schemas.openxmlformats.org/officeDocument/2006/relationships/hyperlink" Target="https://www.fisheries.noaa.gov/species/killer-whale" TargetMode="External"/><Relationship Id="rId20" Type="http://schemas.openxmlformats.org/officeDocument/2006/relationships/hyperlink" Target="https://www.fisheries.noaa.gov/species/sperm-whale" TargetMode="External"/><Relationship Id="rId21" Type="http://schemas.openxmlformats.org/officeDocument/2006/relationships/hyperlink" Target="https://www.fisheries.noaa.gov/feature-story/whale-story-necropsy-reveals-health-species-and-ocean" TargetMode="External"/><Relationship Id="rId22" Type="http://schemas.openxmlformats.org/officeDocument/2006/relationships/hyperlink" Target="https://www.fws.gov/species/polar-bear-ursus-maritimus" TargetMode="External"/><Relationship Id="rId23" Type="http://schemas.openxmlformats.org/officeDocument/2006/relationships/hyperlink" Target="https://www.fws.gov/story/2026-01/our-nations-nature" TargetMode="External"/><Relationship Id="rId24" Type="http://schemas.openxmlformats.org/officeDocument/2006/relationships/hyperlink" Target="https://ocean.si.edu/ocean-life/invertebrates/giant-squid" TargetMode="External"/><Relationship Id="rId25" Type="http://schemas.openxmlformats.org/officeDocument/2006/relationships/hyperlink" Target="https://www.nesdis.noaa.gov/about/k-12-education/ice-snow/how-do-snowflakes-for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Polar Animal Detectives — Foundation-Year 2 Teacher Guide</dc:title>
  <dc:subject>Teacher guidance and curriculum mapping for Foundation-Year 2</dc:subject>
  <dc:creator>Hologram Zoo Melbourne</dc:creator>
  <cp:keywords>Hologram Zoo, Arctic, Antarctica, Foundation-Year 2, Victorian Curriculum Version 2.0, polar science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