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Africa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 |  Foundation-Year 2  |  Africa experience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position: </w:t>
      </w:r>
      <w:r>
        <w:rPr>
          <w:rFonts w:ascii="Arial" w:hAnsi="Arial"/>
          <w:color w:val="26332D"/>
        </w:rPr>
        <w:t>Students observe represented animals, identify external features and habitat needs, notice patterns and communicate questions. The animals are moving digital images, not live animals.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100"/>
        <w:gridCol w:w="59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Phase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Suggested time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Before / arrival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10–15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Vocabulary, source and representation expectations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During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About 17 minutes plus movement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Three brief observations and questions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Post-show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45–75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External features; Animal needs and habitats; Patterns and questions; Observation communication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Communication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20–40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Audience-focused explanation, model or briefing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  <w:spacing w:after="60"/>
      </w:pPr>
      <w:r>
        <w:t>Students develop evidence about external features.</w:t>
      </w:r>
    </w:p>
    <w:p>
      <w:pPr>
        <w:pStyle w:val="ListBullet"/>
        <w:spacing w:after="60"/>
      </w:pPr>
      <w:r>
        <w:t>Students develop evidence about animal needs and habitats.</w:t>
      </w:r>
    </w:p>
    <w:p>
      <w:pPr>
        <w:pStyle w:val="ListBullet"/>
        <w:spacing w:after="60"/>
      </w:pPr>
      <w:r>
        <w:t>Students develop evidence about patterns and questions.</w:t>
      </w:r>
    </w:p>
    <w:p>
      <w:pPr>
        <w:pStyle w:val="ListBullet"/>
        <w:spacing w:after="60"/>
      </w:pPr>
      <w:r>
        <w:t>Students develop evidence about observation communication.</w:t>
      </w:r>
    </w:p>
    <w:p>
      <w:r>
        <w:br w:type="page"/>
      </w:r>
    </w:p>
    <w:p>
      <w:pPr>
        <w:pStyle w:val="Heading1"/>
      </w:pPr>
      <w:r>
        <w:t>Victorian curriculum mapping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900"/>
        <w:gridCol w:w="3900"/>
        <w:gridCol w:w="3405"/>
      </w:tblGrid>
      <w:tr>
        <w:trPr>
          <w:cantSplit/>
          <w:tblHeader w:val="true"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Code / study component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Curriculum intent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Evidence in this pack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VC2S2H01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People use observations and science in daily life.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Students use careful observations to explain animal and habitat choices.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have features and can be grouped.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Feature hunt and animal-group sort.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VC2S2U02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grow, change and have life cycles.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Young/adult comparison; full life cycle requires source cards.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VC2S2U03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live in habitats that meet their needs.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Habitat-needs matching and wetland/savanna comparison.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VC2S2I03-VC2S2I04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informal data can be recorded and represented.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Tally, drawing and labelled observation.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VC2S2I06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ideas are communicated for a purpose.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Short animal guide for another class.</w:t>
            </w:r>
          </w:p>
        </w:tc>
      </w:tr>
    </w:tbl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Mapping rule: </w:t>
      </w:r>
      <w:r>
        <w:rPr>
          <w:rFonts w:ascii="Arial" w:hAnsi="Arial"/>
          <w:color w:val="26332D"/>
        </w:rPr>
        <w:t>This pack supports selected curriculum evidence. It does not cover an entire achievement standard, VCE outcome or assessment task.</w:t>
      </w:r>
    </w:p>
    <w:p>
      <w:pPr>
        <w:pStyle w:val="Heading1"/>
      </w:pPr>
      <w:r>
        <w:t>Teaching sequence</w:t>
      </w:r>
    </w:p>
    <w:p>
      <w:pPr>
        <w:pStyle w:val="ListBullet"/>
        <w:spacing w:after="60"/>
      </w:pPr>
      <w:r>
        <w:t>Before: introduce observation, inference, source evidence and representation; preview darkness, motion, sudden approaches, animal sounds, storm, lightning and fire effects.</w:t>
      </w:r>
    </w:p>
    <w:p>
      <w:pPr>
        <w:pStyle w:val="ListBullet"/>
        <w:spacing w:after="60"/>
      </w:pPr>
      <w:r>
        <w:t>During: ask students to watch first and capture only three quick observations where safe.</w:t>
      </w:r>
    </w:p>
    <w:p>
      <w:pPr>
        <w:pStyle w:val="ListBullet"/>
        <w:spacing w:after="60"/>
      </w:pPr>
      <w:r>
        <w:t>After: use the workbook with sourced animal or ecosystem evidence; compare and revise one explanation.</w:t>
      </w:r>
    </w:p>
    <w:p>
      <w:pPr>
        <w:pStyle w:val="ListBullet"/>
        <w:spacing w:after="60"/>
      </w:pPr>
      <w:r>
        <w:t>Communicate: require a named purpose and audience, accurate vocabulary and visible source acknowledgement.</w:t>
      </w:r>
    </w:p>
    <w:p>
      <w:pPr>
        <w:pStyle w:val="Heading1"/>
      </w:pPr>
      <w:r>
        <w:t>Answer and feedback guidance</w:t>
      </w:r>
    </w:p>
    <w:p>
      <w:pPr>
        <w:pStyle w:val="ListBullet"/>
        <w:spacing w:after="60"/>
      </w:pPr>
      <w:r>
        <w:t>Accept labelled drawings, oral answers or scribing.</w:t>
      </w:r>
    </w:p>
    <w:p>
      <w:pPr>
        <w:pStyle w:val="ListBullet"/>
        <w:spacing w:after="60"/>
      </w:pPr>
      <w:r>
        <w:t>The real animal is living; the projected image and hardware are non-living.</w:t>
      </w:r>
    </w:p>
    <w:p>
      <w:pPr>
        <w:pStyle w:val="ListBullet"/>
        <w:spacing w:after="60"/>
      </w:pPr>
      <w:r>
        <w:t>A strong habitat answer includes food, water, shelter and sufficient space.</w:t>
      </w:r>
    </w:p>
    <w:p>
      <w:r>
        <w:br w:type="page"/>
      </w:r>
    </w:p>
    <w:p>
      <w:pPr>
        <w:pStyle w:val="Heading1"/>
      </w:pPr>
      <w:r>
        <w:t>Operational, factual and ethical controls</w:t>
      </w:r>
    </w:p>
    <w:p>
      <w:pPr>
        <w:pStyle w:val="ListBullet"/>
        <w:spacing w:after="60"/>
      </w:pPr>
      <w:r>
        <w:t>Call the animals representations. The show is not a live-animal encounter, field survey or population sample.</w:t>
      </w:r>
    </w:p>
    <w:p>
      <w:pPr>
        <w:pStyle w:val="ListBullet"/>
        <w:spacing w:after="60"/>
      </w:pPr>
      <w:r>
        <w:t>Keep small antelope, rhinoceros, crocodile, fish, hornbill-like bird and hyena-like animals generic until venue confirmation.</w:t>
      </w:r>
    </w:p>
    <w:p>
      <w:pPr>
        <w:pStyle w:val="ListBullet"/>
        <w:spacing w:after="60"/>
      </w:pPr>
      <w:r>
        <w:t>Use young/adult rather than parent/offspring unless a relationship is confirmed.</w:t>
      </w:r>
    </w:p>
    <w:p>
      <w:pPr>
        <w:pStyle w:val="ListBullet"/>
        <w:spacing w:after="60"/>
      </w:pPr>
      <w:r>
        <w:t>Do not infer a food chain, hunting event or social relationship merely because animals appear together.</w:t>
      </w:r>
    </w:p>
    <w:p>
      <w:pPr>
        <w:pStyle w:val="ListBullet"/>
        <w:spacing w:after="60"/>
      </w:pPr>
      <w:r>
        <w:t>Identify glowing eyes, lightning, fire and heightened threat as dramatic design choices.</w:t>
      </w:r>
    </w:p>
    <w:p>
      <w:pPr>
        <w:pStyle w:val="ListBullet"/>
        <w:spacing w:after="60"/>
      </w:pPr>
      <w:r>
        <w:t>Use 'hippopotamus canine teeth'; avoid stereotype or villain language for vultures, crocodiles, gorillas and hyenas.</w:t>
      </w:r>
    </w:p>
    <w:p>
      <w:pPr>
        <w:pStyle w:val="Heading1"/>
      </w:pPr>
      <w:r>
        <w:t>Accessibility and differentiation</w:t>
      </w:r>
    </w:p>
    <w:p>
      <w:pPr>
        <w:pStyle w:val="ListBullet"/>
        <w:spacing w:after="60"/>
      </w:pPr>
      <w:r>
        <w:t>Offer oral, drawn, typed, photographed or scribed responses and a reduced-writing sheet.</w:t>
      </w:r>
    </w:p>
    <w:p>
      <w:pPr>
        <w:pStyle w:val="ListBullet"/>
        <w:spacing w:after="60"/>
      </w:pPr>
      <w:r>
        <w:t>Preview low light, moving viewpoint, loud animal sounds, a rhinoceros charge, sudden giraffe approach, storm, lightning and fire effects.</w:t>
      </w:r>
    </w:p>
    <w:p>
      <w:pPr>
        <w:pStyle w:val="ListBullet"/>
        <w:spacing w:after="60"/>
      </w:pPr>
      <w:r>
        <w:t>Teachers and venue staff should agree on movement, seating, quiet-space and alternative-viewing arrangements.</w:t>
      </w:r>
    </w:p>
    <w:p>
      <w:pPr>
        <w:pStyle w:val="ListBullet"/>
        <w:spacing w:after="60"/>
      </w:pPr>
      <w:r>
        <w:t>Provide vocabulary and cautious animal labels in advance; do not require writing while walking.</w:t>
      </w:r>
    </w:p>
    <w:p>
      <w:pPr>
        <w:pStyle w:val="Heading1"/>
      </w:pPr>
      <w:r>
        <w:t>Approval gate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5000"/>
        <w:gridCol w:w="3000"/>
        <w:gridCol w:w="2205"/>
      </w:tblGrid>
      <w:tr>
        <w:trPr>
          <w:cantSplit/>
          <w:tblHeader w:val="true"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Check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Reviewer</w:t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Status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Twenty installed files match register and runtime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Unresolved labels confirmed or kept generic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Science and curriculum review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Spoken timing and quiet windows checked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Accessibility and teacher review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</w:tbl>
    <w:p>
      <w:pPr>
        <w:pStyle w:val="Heading1"/>
      </w:pPr>
      <w:r>
        <w:t>Authoritative 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Victorian Curriculum F–10 Version 2.0 — Science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VCAA — Science scope and sequence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Smithsonian National Zoo — Ostrich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Smithsonian National Zoo — Meerkat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Smithsonian National Zoo — Western lowland gorilla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San Diego Zoo Wildlife Alliance — Giraffe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San Diego Zoo Wildlife Alliance — Elephant</w:t>
        </w:r>
      </w:hyperlink>
    </w:p>
    <w:p>
      <w:pPr>
        <w:pStyle w:val="ListBullet"/>
        <w:spacing w:after="60"/>
      </w:pPr>
      <w:hyperlink r:id="rId18">
        <w:r>
          <w:rPr>
            <w:color w:val="087F7C"/>
            <w:u w:val="single"/>
          </w:rPr>
          <w:t>San Diego Zoo Wildlife Alliance — Rhinoceros</w:t>
        </w:r>
      </w:hyperlink>
    </w:p>
    <w:p>
      <w:pPr>
        <w:pStyle w:val="ListBullet"/>
        <w:spacing w:after="60"/>
      </w:pPr>
      <w:hyperlink r:id="rId19">
        <w:r>
          <w:rPr>
            <w:color w:val="087F7C"/>
            <w:u w:val="single"/>
          </w:rPr>
          <w:t>San Diego Zoo Wildlife Alliance — Lion</w:t>
        </w:r>
      </w:hyperlink>
    </w:p>
    <w:p>
      <w:pPr>
        <w:pStyle w:val="ListBullet"/>
        <w:spacing w:after="60"/>
      </w:pPr>
      <w:hyperlink r:id="rId20">
        <w:r>
          <w:rPr>
            <w:color w:val="087F7C"/>
            <w:u w:val="single"/>
          </w:rPr>
          <w:t>San Diego Zoo Wildlife Alliance — Zebra</w:t>
        </w:r>
      </w:hyperlink>
    </w:p>
    <w:p>
      <w:pPr>
        <w:pStyle w:val="ListBullet"/>
        <w:spacing w:after="60"/>
      </w:pPr>
      <w:hyperlink r:id="rId21">
        <w:r>
          <w:rPr>
            <w:color w:val="087F7C"/>
            <w:u w:val="single"/>
          </w:rPr>
          <w:t>San Diego Zoo Wildlife Alliance — Dung beetle</w:t>
        </w:r>
      </w:hyperlink>
    </w:p>
    <w:p>
      <w:pPr>
        <w:pStyle w:val="ListBullet"/>
        <w:spacing w:after="60"/>
      </w:pPr>
      <w:hyperlink r:id="rId22">
        <w:r>
          <w:rPr>
            <w:color w:val="087F7C"/>
            <w:u w:val="single"/>
          </w:rPr>
          <w:t>San Diego Zoo Wildlife Alliance — Chameleon</w:t>
        </w:r>
      </w:hyperlink>
    </w:p>
    <w:p>
      <w:pPr>
        <w:pStyle w:val="ListBullet"/>
        <w:spacing w:after="60"/>
      </w:pPr>
      <w:hyperlink r:id="rId23">
        <w:r>
          <w:rPr>
            <w:color w:val="087F7C"/>
            <w:u w:val="single"/>
          </w:rPr>
          <w:t>San Diego Zoo Wildlife Alliance — Crocodilian</w:t>
        </w:r>
      </w:hyperlink>
    </w:p>
    <w:p>
      <w:pPr>
        <w:pStyle w:val="ListBullet"/>
        <w:spacing w:after="60"/>
      </w:pPr>
      <w:hyperlink r:id="rId24">
        <w:r>
          <w:rPr>
            <w:color w:val="087F7C"/>
            <w:u w:val="single"/>
          </w:rPr>
          <w:t>San Diego Zoo Wildlife Alliance — Flamingo</w:t>
        </w:r>
      </w:hyperlink>
    </w:p>
    <w:p>
      <w:pPr>
        <w:pStyle w:val="ListBullet"/>
        <w:spacing w:after="60"/>
      </w:pPr>
      <w:hyperlink r:id="rId25">
        <w:r>
          <w:rPr>
            <w:color w:val="087F7C"/>
            <w:u w:val="single"/>
          </w:rPr>
          <w:t>San Diego Zoo Wildlife Alliance — Vulture</w:t>
        </w:r>
      </w:hyperlink>
    </w:p>
    <w:p>
      <w:pPr>
        <w:pStyle w:val="ListBullet"/>
        <w:spacing w:after="60"/>
      </w:pPr>
      <w:hyperlink r:id="rId26">
        <w:r>
          <w:rPr>
            <w:color w:val="087F7C"/>
            <w:u w:val="single"/>
          </w:rPr>
          <w:t>San Diego Zoo Wildlife Alliance — Hippo</w:t>
        </w:r>
      </w:hyperlink>
    </w:p>
    <w:p>
      <w:pPr>
        <w:pStyle w:val="ListBullet"/>
        <w:spacing w:after="60"/>
      </w:pPr>
      <w:hyperlink r:id="rId27">
        <w:r>
          <w:rPr>
            <w:color w:val="087F7C"/>
            <w:u w:val="single"/>
          </w:rPr>
          <w:t>San Diego Zoo Wildlife Alliance — Shoebill</w:t>
        </w:r>
      </w:hyperlink>
    </w:p>
    <w:p>
      <w:pPr>
        <w:pStyle w:val="ListBullet"/>
        <w:spacing w:after="60"/>
      </w:pPr>
      <w:hyperlink r:id="rId28">
        <w:r>
          <w:rPr>
            <w:color w:val="087F7C"/>
            <w:u w:val="single"/>
          </w:rPr>
          <w:t>San Diego Zoo Wildlife Alliance — Spotted hyena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Curriculum and factual sources checked 14 August 2026. Recheck current study designs, facts and links before public release.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arning-areas/science/curriculum" TargetMode="External"/><Relationship Id="rId12" Type="http://schemas.openxmlformats.org/officeDocument/2006/relationships/hyperlink" Target="https://f10.vcaa.vic.edu.au/learning-areas/science/scope-and-sequence" TargetMode="External"/><Relationship Id="rId13" Type="http://schemas.openxmlformats.org/officeDocument/2006/relationships/hyperlink" Target="https://nationalzoo.si.edu/animals/ostrich" TargetMode="External"/><Relationship Id="rId14" Type="http://schemas.openxmlformats.org/officeDocument/2006/relationships/hyperlink" Target="https://nationalzoo.si.edu/animals/meerkat" TargetMode="External"/><Relationship Id="rId15" Type="http://schemas.openxmlformats.org/officeDocument/2006/relationships/hyperlink" Target="https://nationalzoo.si.edu/animals/western-lowland-gorilla" TargetMode="External"/><Relationship Id="rId16" Type="http://schemas.openxmlformats.org/officeDocument/2006/relationships/hyperlink" Target="https://animals.sandiegozoo.org/animals/giraffe" TargetMode="External"/><Relationship Id="rId17" Type="http://schemas.openxmlformats.org/officeDocument/2006/relationships/hyperlink" Target="https://animals.sandiegozoo.org/animals/elephant" TargetMode="External"/><Relationship Id="rId18" Type="http://schemas.openxmlformats.org/officeDocument/2006/relationships/hyperlink" Target="https://animals.sandiegozoo.org/animals/rhinoceros" TargetMode="External"/><Relationship Id="rId19" Type="http://schemas.openxmlformats.org/officeDocument/2006/relationships/hyperlink" Target="https://animals.sandiegozoo.org/animals/lion" TargetMode="External"/><Relationship Id="rId20" Type="http://schemas.openxmlformats.org/officeDocument/2006/relationships/hyperlink" Target="https://animals.sandiegozoo.org/animals/zebra" TargetMode="External"/><Relationship Id="rId21" Type="http://schemas.openxmlformats.org/officeDocument/2006/relationships/hyperlink" Target="https://animals.sandiegozoo.org/animals/dung-beetle" TargetMode="External"/><Relationship Id="rId22" Type="http://schemas.openxmlformats.org/officeDocument/2006/relationships/hyperlink" Target="https://animals.sandiegozoo.org/animals/chameleon" TargetMode="External"/><Relationship Id="rId23" Type="http://schemas.openxmlformats.org/officeDocument/2006/relationships/hyperlink" Target="https://animals.sandiegozoo.org/animals/crocodilian" TargetMode="External"/><Relationship Id="rId24" Type="http://schemas.openxmlformats.org/officeDocument/2006/relationships/hyperlink" Target="https://animals.sandiegozoo.org/animals/flamingo" TargetMode="External"/><Relationship Id="rId25" Type="http://schemas.openxmlformats.org/officeDocument/2006/relationships/hyperlink" Target="https://animals.sandiegozoo.org/animals/vulture" TargetMode="External"/><Relationship Id="rId26" Type="http://schemas.openxmlformats.org/officeDocument/2006/relationships/hyperlink" Target="https://animals.sandiegozoo.org/animals/hippo" TargetMode="External"/><Relationship Id="rId27" Type="http://schemas.openxmlformats.org/officeDocument/2006/relationships/hyperlink" Target="https://animals.sandiegozoo.org/animals/shoebill" TargetMode="External"/><Relationship Id="rId28" Type="http://schemas.openxmlformats.org/officeDocument/2006/relationships/hyperlink" Target="https://animals.sandiegozoo.org/animals/spotted-hyen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Africa Animal Detectives — Foundation-Year 2 Teacher Guide</dc:title>
  <dc:subject>Teacher guidance and curriculum mapping for Foundation-Year 2</dc:subject>
  <dc:creator>Hologram Zoo Melbourne</dc:creator>
  <cp:keywords>Hologram Zoo, Africa, Foundation-Year 2, Victorian Curriculum Version 2.0, wildlife, ecosystems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